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ink/ink1.xml" ContentType="application/inkml+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B066" w14:textId="0EACD1F6" w:rsidR="1C1CF5A4" w:rsidRDefault="1C1CF5A4"/>
    <w:p w14:paraId="6F5DE393" w14:textId="0A124B27" w:rsidR="00940BE2" w:rsidRPr="00CA1E70" w:rsidRDefault="001C4F87" w:rsidP="008F6A44">
      <w:bookmarkStart w:id="0" w:name="_Toc18580872"/>
      <w:bookmarkStart w:id="1" w:name="_Toc230585739"/>
      <w:bookmarkStart w:id="2" w:name="_Toc221523186"/>
      <w:bookmarkStart w:id="3" w:name="_Toc221526179"/>
      <w:bookmarkStart w:id="4" w:name="_Hlk56597621"/>
      <w:r w:rsidRPr="006E527C">
        <w:rPr>
          <w:noProof/>
        </w:rPr>
        <w:drawing>
          <wp:anchor distT="0" distB="0" distL="114300" distR="114300" simplePos="0" relativeHeight="251658240" behindDoc="0" locked="0" layoutInCell="1" allowOverlap="1" wp14:anchorId="079283F9" wp14:editId="6C4866B1">
            <wp:simplePos x="0" y="0"/>
            <wp:positionH relativeFrom="margin">
              <wp:posOffset>4089400</wp:posOffset>
            </wp:positionH>
            <wp:positionV relativeFrom="paragraph">
              <wp:posOffset>-7620</wp:posOffset>
            </wp:positionV>
            <wp:extent cx="1944000" cy="71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sNZ_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000" cy="7128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88E6F9A" w14:textId="1D733FA1" w:rsidR="00940BE2" w:rsidRPr="00CA1E70" w:rsidRDefault="00940BE2" w:rsidP="008F6A44"/>
    <w:p w14:paraId="4623CA6F" w14:textId="0E620C68" w:rsidR="00504B6C" w:rsidRDefault="009E147C" w:rsidP="008F6A44">
      <w:bookmarkStart w:id="5" w:name="_Toc266959787"/>
      <w:bookmarkStart w:id="6" w:name="_Toc266966103"/>
      <w:bookmarkStart w:id="7" w:name="_Toc267057394"/>
      <w:bookmarkStart w:id="8" w:name="_Toc267388080"/>
      <w:bookmarkStart w:id="9" w:name="_Toc267388117"/>
      <w:bookmarkStart w:id="10" w:name="_Toc272416305"/>
      <w:bookmarkStart w:id="11" w:name="_Toc302550721"/>
      <w:bookmarkStart w:id="12" w:name="_Toc302570758"/>
      <w:bookmarkStart w:id="13" w:name="_Toc302571132"/>
      <w:r>
        <w:tab/>
      </w:r>
    </w:p>
    <w:p w14:paraId="308EF9FA" w14:textId="77777777" w:rsidR="005B20E3" w:rsidRDefault="005B20E3" w:rsidP="008F6A44"/>
    <w:p w14:paraId="6945FDFC" w14:textId="77777777" w:rsidR="005B20E3" w:rsidRDefault="005B20E3" w:rsidP="008F6A44"/>
    <w:p w14:paraId="6D12CFAA" w14:textId="77777777" w:rsidR="005B20E3" w:rsidRDefault="005B20E3" w:rsidP="008F6A44"/>
    <w:p w14:paraId="3F482C3D" w14:textId="449DC4F8" w:rsidR="00A02E1C" w:rsidRDefault="005B20E3" w:rsidP="00A02E1C">
      <w:pPr>
        <w:pStyle w:val="Titletext"/>
      </w:pPr>
      <w:bookmarkStart w:id="14" w:name="_Toc187762867"/>
      <w:bookmarkStart w:id="15" w:name="_Toc187763589"/>
      <w:bookmarkStart w:id="16" w:name="_Toc187763828"/>
      <w:bookmarkStart w:id="17" w:name="_Toc187763878"/>
      <w:bookmarkStart w:id="18" w:name="_Toc187818175"/>
      <w:bookmarkStart w:id="19" w:name="_Toc187922797"/>
      <w:bookmarkStart w:id="20" w:name="_Toc188866508"/>
      <w:bookmarkStart w:id="21" w:name="_Toc190175270"/>
      <w:bookmarkStart w:id="22" w:name="_Toc190793421"/>
      <w:bookmarkStart w:id="23" w:name="_Toc190856831"/>
      <w:bookmarkEnd w:id="1"/>
      <w:bookmarkEnd w:id="5"/>
      <w:bookmarkEnd w:id="6"/>
      <w:bookmarkEnd w:id="7"/>
      <w:bookmarkEnd w:id="8"/>
      <w:bookmarkEnd w:id="9"/>
      <w:bookmarkEnd w:id="10"/>
      <w:bookmarkEnd w:id="11"/>
      <w:bookmarkEnd w:id="12"/>
      <w:bookmarkEnd w:id="13"/>
      <w:r>
        <w:t>Household Disability Survey</w:t>
      </w:r>
      <w:r w:rsidR="006415E2">
        <w:t xml:space="preserve"> 2023 </w:t>
      </w:r>
      <w:r>
        <w:t>– findings, definitions</w:t>
      </w:r>
      <w:r w:rsidR="00190AD1">
        <w:t>,</w:t>
      </w:r>
      <w:r>
        <w:t xml:space="preserve"> </w:t>
      </w:r>
      <w:r w:rsidR="00EE5D6D">
        <w:t>and</w:t>
      </w:r>
      <w:r>
        <w:t xml:space="preserve"> design summary</w:t>
      </w:r>
      <w:bookmarkEnd w:id="2"/>
      <w:bookmarkEnd w:id="3"/>
      <w:bookmarkEnd w:id="14"/>
      <w:bookmarkEnd w:id="15"/>
      <w:bookmarkEnd w:id="16"/>
      <w:bookmarkEnd w:id="17"/>
      <w:bookmarkEnd w:id="18"/>
      <w:bookmarkEnd w:id="19"/>
      <w:bookmarkEnd w:id="20"/>
      <w:bookmarkEnd w:id="21"/>
      <w:bookmarkEnd w:id="22"/>
      <w:bookmarkEnd w:id="23"/>
    </w:p>
    <w:p w14:paraId="44129963" w14:textId="77777777" w:rsidR="00A02E1C" w:rsidRDefault="00A02E1C">
      <w:pPr>
        <w:spacing w:after="160" w:line="259" w:lineRule="auto"/>
        <w:rPr>
          <w:rFonts w:eastAsia="Times New Roman" w:cs="Arial Mäori"/>
          <w:color w:val="4E5B61"/>
          <w:sz w:val="58"/>
          <w:szCs w:val="52"/>
          <w:lang w:val="en-GB"/>
        </w:rPr>
      </w:pPr>
      <w:r>
        <w:br w:type="page"/>
      </w:r>
    </w:p>
    <w:p w14:paraId="21447670" w14:textId="0D3DC21A" w:rsidR="00940BE2" w:rsidRPr="00CA1E70" w:rsidRDefault="00940BE2" w:rsidP="005B20E3">
      <w:pPr>
        <w:rPr>
          <w:highlight w:val="yellow"/>
        </w:rPr>
        <w:sectPr w:rsidR="00940BE2" w:rsidRPr="00CA1E70" w:rsidSect="004F4C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5A8076B6" w14:textId="77777777" w:rsidR="00BC650E" w:rsidRDefault="00BC650E" w:rsidP="00155661">
      <w:pPr>
        <w:pStyle w:val="Copyrightinfoheadings"/>
      </w:pPr>
      <w:bookmarkStart w:id="24" w:name="_Toc230585738"/>
      <w:bookmarkStart w:id="25" w:name="_Toc230685855"/>
      <w:bookmarkStart w:id="26" w:name="_Toc230767480"/>
    </w:p>
    <w:p w14:paraId="3CCC1048" w14:textId="77777777" w:rsidR="00A02E1C" w:rsidRDefault="00A02E1C" w:rsidP="00155661">
      <w:pPr>
        <w:pStyle w:val="Copyrightinfoheadings"/>
      </w:pPr>
    </w:p>
    <w:p w14:paraId="0D56FDA9" w14:textId="7CCFB4B2" w:rsidR="00BC650E" w:rsidRDefault="00BC650E" w:rsidP="00155661">
      <w:pPr>
        <w:pStyle w:val="Copyrightinfoheadings"/>
      </w:pPr>
    </w:p>
    <w:p w14:paraId="5D4DF231" w14:textId="77777777" w:rsidR="00BC650E" w:rsidRDefault="00BC650E" w:rsidP="00155661">
      <w:pPr>
        <w:pStyle w:val="Copyrightinfoheadings"/>
      </w:pPr>
    </w:p>
    <w:p w14:paraId="12512BAD" w14:textId="77777777" w:rsidR="00BC650E" w:rsidRDefault="00BC650E" w:rsidP="00155661">
      <w:pPr>
        <w:pStyle w:val="Copyrightinfoheadings"/>
      </w:pPr>
    </w:p>
    <w:p w14:paraId="4F055893" w14:textId="77777777" w:rsidR="00BC650E" w:rsidRDefault="00BC650E" w:rsidP="00155661">
      <w:pPr>
        <w:pStyle w:val="Copyrightinfoheadings"/>
      </w:pPr>
    </w:p>
    <w:p w14:paraId="1B23D93E" w14:textId="77777777" w:rsidR="00BC650E" w:rsidRDefault="00BC650E" w:rsidP="00155661">
      <w:pPr>
        <w:pStyle w:val="Copyrightinfoheadings"/>
      </w:pPr>
    </w:p>
    <w:p w14:paraId="4951F132" w14:textId="77777777" w:rsidR="00BC650E" w:rsidRDefault="00BC650E" w:rsidP="00155661">
      <w:pPr>
        <w:pStyle w:val="Copyrightinfoheadings"/>
      </w:pPr>
    </w:p>
    <w:p w14:paraId="679EE48D" w14:textId="77777777" w:rsidR="00BC650E" w:rsidRDefault="00BC650E" w:rsidP="00155661">
      <w:pPr>
        <w:pStyle w:val="Copyrightinfoheadings"/>
      </w:pPr>
    </w:p>
    <w:p w14:paraId="55B2E9CF" w14:textId="77777777" w:rsidR="00BC650E" w:rsidRDefault="00BC650E" w:rsidP="00155661">
      <w:pPr>
        <w:pStyle w:val="Copyrightinfoheadings"/>
      </w:pPr>
    </w:p>
    <w:p w14:paraId="4BC09C51" w14:textId="77777777" w:rsidR="00BC650E" w:rsidRDefault="00BC650E" w:rsidP="00155661">
      <w:pPr>
        <w:pStyle w:val="Copyrightinfoheadings"/>
      </w:pPr>
    </w:p>
    <w:p w14:paraId="37399B67" w14:textId="77777777" w:rsidR="00BC650E" w:rsidRDefault="00BC650E" w:rsidP="00155661">
      <w:pPr>
        <w:pStyle w:val="Copyrightinfoheadings"/>
      </w:pPr>
    </w:p>
    <w:p w14:paraId="380B9F4D" w14:textId="77777777" w:rsidR="00BC650E" w:rsidRDefault="00BC650E" w:rsidP="00155661">
      <w:pPr>
        <w:pStyle w:val="Copyrightinfoheadings"/>
      </w:pPr>
    </w:p>
    <w:p w14:paraId="30EB217E" w14:textId="77777777" w:rsidR="00BC650E" w:rsidRDefault="00BC650E" w:rsidP="00155661">
      <w:pPr>
        <w:pStyle w:val="Copyrightinfoheadings"/>
      </w:pPr>
    </w:p>
    <w:p w14:paraId="4770B46B" w14:textId="77777777" w:rsidR="00D11D82" w:rsidRDefault="00D11D82" w:rsidP="00155661">
      <w:pPr>
        <w:pStyle w:val="Copyrightinfoheadings"/>
      </w:pPr>
    </w:p>
    <w:p w14:paraId="49C637F3" w14:textId="77777777" w:rsidR="00D11D82" w:rsidRDefault="00D11D82" w:rsidP="00155661">
      <w:pPr>
        <w:pStyle w:val="Copyrightinfoheadings"/>
      </w:pPr>
    </w:p>
    <w:p w14:paraId="545D3F44" w14:textId="77777777" w:rsidR="00BC650E" w:rsidRDefault="00BC650E" w:rsidP="00155661">
      <w:pPr>
        <w:pStyle w:val="Copyrightinfoheadings"/>
      </w:pPr>
    </w:p>
    <w:p w14:paraId="12BA9F37" w14:textId="77777777" w:rsidR="00D77397" w:rsidRDefault="00D77397" w:rsidP="00155661">
      <w:pPr>
        <w:pStyle w:val="Copyrightinfoheadings"/>
      </w:pPr>
    </w:p>
    <w:p w14:paraId="2A27A127" w14:textId="77777777" w:rsidR="00D77397" w:rsidRDefault="00D77397" w:rsidP="00155661">
      <w:pPr>
        <w:pStyle w:val="Copyrightinfoheadings"/>
      </w:pPr>
    </w:p>
    <w:p w14:paraId="2E21F539" w14:textId="77777777" w:rsidR="00D77397" w:rsidRDefault="00D77397" w:rsidP="00155661">
      <w:pPr>
        <w:pStyle w:val="Copyrightinfoheadings"/>
      </w:pPr>
    </w:p>
    <w:p w14:paraId="1850F350" w14:textId="77777777" w:rsidR="00BC650E" w:rsidRDefault="00BC650E" w:rsidP="00155661">
      <w:pPr>
        <w:pStyle w:val="Copyrightinfoheadings"/>
      </w:pPr>
    </w:p>
    <w:p w14:paraId="74931535" w14:textId="77777777" w:rsidR="00BC650E" w:rsidRDefault="00BC650E" w:rsidP="00155661">
      <w:pPr>
        <w:pStyle w:val="Copyrightinfoheadings"/>
      </w:pPr>
    </w:p>
    <w:bookmarkEnd w:id="24"/>
    <w:bookmarkEnd w:id="25"/>
    <w:bookmarkEnd w:id="26"/>
    <w:p w14:paraId="49A18797" w14:textId="77777777" w:rsidR="00155661" w:rsidRDefault="00940BE2" w:rsidP="00155661">
      <w:pPr>
        <w:pStyle w:val="Copyrightinfoheadings"/>
      </w:pPr>
      <w:r>
        <w:rPr>
          <w:noProof/>
          <w:lang w:eastAsia="en-NZ"/>
        </w:rPr>
        <w:drawing>
          <wp:inline distT="0" distB="0" distL="0" distR="0" wp14:anchorId="08A533D7" wp14:editId="44C26B77">
            <wp:extent cx="727328" cy="254977"/>
            <wp:effectExtent l="19050" t="0" r="0" b="0"/>
            <wp:docPr id="1" name="Picture 1" descr="C:\Documents and Settings\jwright\Local Settings\Application Data\Lotus\Notes\Data\RSL_DocOne.wrk\W159295_CClogoPRINT.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9"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t xml:space="preserve"> </w:t>
      </w:r>
      <w:r w:rsidRPr="003672F2">
        <w:t>Crown copyright</w:t>
      </w:r>
      <w:r>
        <w:t xml:space="preserve"> ©</w:t>
      </w:r>
    </w:p>
    <w:p w14:paraId="54DB9714" w14:textId="77777777" w:rsidR="002939EB" w:rsidRPr="003672F2" w:rsidRDefault="4A07F070" w:rsidP="4A07F070">
      <w:pPr>
        <w:pStyle w:val="Copyrightinfotext"/>
        <w:rPr>
          <w:rFonts w:asciiTheme="minorHAnsi" w:hAnsiTheme="minorHAnsi"/>
        </w:rPr>
      </w:pPr>
      <w:hyperlink r:id="rId20">
        <w:r w:rsidRPr="4A07F070">
          <w:rPr>
            <w:rStyle w:val="Hyperlink"/>
            <w:color w:val="0000FF"/>
            <w:sz w:val="20"/>
            <w:szCs w:val="20"/>
          </w:rPr>
          <w:t xml:space="preserve">See Copyright and terms of use </w:t>
        </w:r>
      </w:hyperlink>
      <w:r w:rsidRPr="4A07F070">
        <w:rPr>
          <w:rFonts w:asciiTheme="minorHAnsi" w:hAnsiTheme="minorHAnsi"/>
        </w:rPr>
        <w:t>for our copyright, attribution, and liability statements.</w:t>
      </w:r>
    </w:p>
    <w:p w14:paraId="073FB156" w14:textId="77777777" w:rsidR="00940BE2" w:rsidRPr="000449B5" w:rsidRDefault="4A07F070" w:rsidP="00940BE2">
      <w:pPr>
        <w:pStyle w:val="Copyrightinfoheadings"/>
      </w:pPr>
      <w:r>
        <w:t>Citation</w:t>
      </w:r>
    </w:p>
    <w:p w14:paraId="3182E644" w14:textId="739A2473" w:rsidR="00FD1F15" w:rsidRPr="003672F2" w:rsidRDefault="4A07F070" w:rsidP="00940BE2">
      <w:pPr>
        <w:pStyle w:val="Copyrightinfotext"/>
      </w:pPr>
      <w:r>
        <w:t>Stats NZ (202</w:t>
      </w:r>
      <w:r w:rsidR="005500CD">
        <w:t>5</w:t>
      </w:r>
      <w:r>
        <w:t xml:space="preserve">). </w:t>
      </w:r>
      <w:r w:rsidR="008D117C" w:rsidRPr="00506C67">
        <w:rPr>
          <w:i/>
        </w:rPr>
        <w:t>Household Disability Survey</w:t>
      </w:r>
      <w:r w:rsidR="006415E2">
        <w:rPr>
          <w:i/>
        </w:rPr>
        <w:t xml:space="preserve"> </w:t>
      </w:r>
      <w:r w:rsidR="006415E2" w:rsidRPr="00506C67">
        <w:rPr>
          <w:i/>
        </w:rPr>
        <w:t>2023</w:t>
      </w:r>
      <w:r w:rsidR="008D117C" w:rsidRPr="00506C67">
        <w:rPr>
          <w:i/>
        </w:rPr>
        <w:t xml:space="preserve"> – findings, definitions</w:t>
      </w:r>
      <w:r w:rsidR="00190AD1">
        <w:rPr>
          <w:i/>
          <w:iCs/>
        </w:rPr>
        <w:t>,</w:t>
      </w:r>
      <w:r w:rsidR="008D117C" w:rsidRPr="00506C67">
        <w:rPr>
          <w:i/>
        </w:rPr>
        <w:t xml:space="preserve"> and design </w:t>
      </w:r>
      <w:r w:rsidR="008D117C" w:rsidRPr="00506C67">
        <w:rPr>
          <w:i/>
          <w:iCs/>
        </w:rPr>
        <w:t>summary</w:t>
      </w:r>
      <w:r w:rsidRPr="4A07F070">
        <w:rPr>
          <w:rStyle w:val="Normalitalic"/>
          <w:rFonts w:ascii="Calibri" w:eastAsiaTheme="minorEastAsia" w:hAnsi="Calibri"/>
          <w:i w:val="0"/>
          <w:iCs w:val="0"/>
          <w:sz w:val="20"/>
          <w:szCs w:val="20"/>
        </w:rPr>
        <w:t>. Retrieved</w:t>
      </w:r>
      <w:r>
        <w:t xml:space="preserve"> from </w:t>
      </w:r>
      <w:hyperlink r:id="rId21">
        <w:r w:rsidRPr="4A07F070">
          <w:rPr>
            <w:rStyle w:val="Hyperlink"/>
            <w:rFonts w:ascii="Calibri" w:hAnsi="Calibri"/>
            <w:color w:val="auto"/>
            <w:sz w:val="20"/>
            <w:szCs w:val="20"/>
            <w:u w:val="none"/>
          </w:rPr>
          <w:t>www.stats.govt.nz</w:t>
        </w:r>
      </w:hyperlink>
      <w:r>
        <w:t>.</w:t>
      </w:r>
    </w:p>
    <w:p w14:paraId="05C8971F" w14:textId="19607241" w:rsidR="00940BE2" w:rsidRPr="003672F2" w:rsidRDefault="4A07F070" w:rsidP="00FD1F15">
      <w:pPr>
        <w:pStyle w:val="Copyrightinfotext"/>
      </w:pPr>
      <w:r>
        <w:t xml:space="preserve">ISBN </w:t>
      </w:r>
      <w:r w:rsidR="009D304D" w:rsidRPr="009D304D">
        <w:t>978-1-991307-44-6</w:t>
      </w:r>
      <w:r w:rsidR="009D304D" w:rsidRPr="009D304D" w:rsidDel="009D304D">
        <w:t xml:space="preserve"> </w:t>
      </w:r>
      <w:r>
        <w:t>(online)</w:t>
      </w:r>
    </w:p>
    <w:p w14:paraId="506E1516" w14:textId="6B7009DB" w:rsidR="00940BE2" w:rsidRPr="00CA1E70" w:rsidRDefault="4A07F070" w:rsidP="00940BE2">
      <w:pPr>
        <w:pStyle w:val="Copyrightinfoheadings"/>
      </w:pPr>
      <w:r>
        <w:t xml:space="preserve">Published in </w:t>
      </w:r>
      <w:r w:rsidR="00D71ED8">
        <w:t>February 2025</w:t>
      </w:r>
      <w:r>
        <w:t xml:space="preserve"> by</w:t>
      </w:r>
    </w:p>
    <w:p w14:paraId="2A2BDA9D" w14:textId="25246779" w:rsidR="00940BE2" w:rsidRDefault="160EE70C" w:rsidP="00940BE2">
      <w:pPr>
        <w:pStyle w:val="Copyrightinfotext"/>
      </w:pPr>
      <w:r w:rsidRPr="3524BD2A">
        <w:t xml:space="preserve">Stats NZ Tatauranga Aotearoa </w:t>
      </w:r>
      <w:r>
        <w:br/>
      </w:r>
      <w:r w:rsidRPr="3524BD2A">
        <w:t>Wellington, New Zealand</w:t>
      </w:r>
    </w:p>
    <w:p w14:paraId="6F6E88E8" w14:textId="77777777" w:rsidR="00940BE2" w:rsidRPr="004754B4" w:rsidRDefault="4A07F070" w:rsidP="00940BE2">
      <w:pPr>
        <w:pStyle w:val="Copyrightinfoheadings"/>
      </w:pPr>
      <w:r>
        <w:t>Contact</w:t>
      </w:r>
    </w:p>
    <w:p w14:paraId="7E871E3E" w14:textId="77777777" w:rsidR="00940BE2" w:rsidRDefault="4A07F070" w:rsidP="00940BE2">
      <w:pPr>
        <w:pStyle w:val="Copyrightinfotext"/>
      </w:pPr>
      <w:r>
        <w:t>Stats NZ Information Centre</w:t>
      </w:r>
      <w:r w:rsidRPr="4A07F070">
        <w:rPr>
          <w:rStyle w:val="CopyrightinfohyperlinkChar"/>
          <w:rFonts w:ascii="Calibri" w:hAnsi="Calibri"/>
          <w:color w:val="auto"/>
          <w:u w:val="none"/>
        </w:rPr>
        <w:t xml:space="preserve">: </w:t>
      </w:r>
      <w:hyperlink r:id="rId22">
        <w:r w:rsidRPr="4A07F070">
          <w:rPr>
            <w:rStyle w:val="Hyperlink"/>
            <w:rFonts w:ascii="Calibri" w:hAnsi="Calibri"/>
            <w:sz w:val="20"/>
            <w:szCs w:val="20"/>
          </w:rPr>
          <w:t>info@stats.govt.nz</w:t>
        </w:r>
      </w:hyperlink>
      <w:r w:rsidRPr="4A07F070">
        <w:rPr>
          <w:rStyle w:val="CopyrightinfohyperlinkChar"/>
        </w:rPr>
        <w:t xml:space="preserve"> </w:t>
      </w:r>
      <w:r w:rsidR="005A4921">
        <w:br/>
      </w:r>
      <w:r>
        <w:t xml:space="preserve">Phone toll-free 0508 525 525 </w:t>
      </w:r>
      <w:r w:rsidR="005A4921">
        <w:br/>
      </w:r>
      <w:r>
        <w:t>Phone international +64 4 931 4600</w:t>
      </w:r>
    </w:p>
    <w:p w14:paraId="20A03B5E" w14:textId="77777777" w:rsidR="00940BE2" w:rsidRPr="003A29E9" w:rsidRDefault="00940BE2" w:rsidP="00940BE2">
      <w:pPr>
        <w:pStyle w:val="Copyrightinfohyperlink"/>
        <w:rPr>
          <w:highlight w:val="yellow"/>
        </w:rPr>
      </w:pPr>
      <w:hyperlink r:id="rId23" w:history="1">
        <w:r w:rsidRPr="003A29E9">
          <w:t>www.stats.govt.nz</w:t>
        </w:r>
      </w:hyperlink>
    </w:p>
    <w:p w14:paraId="3E124EF4" w14:textId="77777777" w:rsidR="00940BE2" w:rsidRPr="00CA1E70" w:rsidRDefault="00940BE2" w:rsidP="00940BE2">
      <w:pPr>
        <w:rPr>
          <w:highlight w:val="yellow"/>
        </w:rPr>
        <w:sectPr w:rsidR="00940BE2" w:rsidRPr="00CA1E70" w:rsidSect="004F79CA">
          <w:headerReference w:type="default" r:id="rId24"/>
          <w:headerReference w:type="first" r:id="rId25"/>
          <w:footerReference w:type="first" r:id="rId26"/>
          <w:pgSz w:w="11906" w:h="16838" w:code="9"/>
          <w:pgMar w:top="1440" w:right="1440" w:bottom="1440" w:left="1440" w:header="1264" w:footer="709" w:gutter="0"/>
          <w:cols w:space="708"/>
          <w:titlePg/>
          <w:docGrid w:linePitch="360"/>
        </w:sectPr>
      </w:pPr>
    </w:p>
    <w:sdt>
      <w:sdtPr>
        <w:rPr>
          <w:rFonts w:eastAsiaTheme="minorEastAsia" w:cs="Times New Roman"/>
          <w:bCs w:val="0"/>
          <w:noProof w:val="0"/>
          <w:color w:val="auto"/>
          <w:sz w:val="22"/>
          <w:szCs w:val="22"/>
          <w:lang w:val="en-GB" w:eastAsia="en-US"/>
        </w:rPr>
        <w:id w:val="-481780151"/>
        <w:docPartObj>
          <w:docPartGallery w:val="Table of Contents"/>
          <w:docPartUnique/>
        </w:docPartObj>
      </w:sdtPr>
      <w:sdtEndPr>
        <w:rPr>
          <w:b/>
          <w:bCs/>
        </w:rPr>
      </w:sdtEndPr>
      <w:sdtContent>
        <w:p w14:paraId="5F46A190" w14:textId="77777777" w:rsidR="000F1267" w:rsidRDefault="00516D0F" w:rsidP="00F55417">
          <w:pPr>
            <w:pStyle w:val="TOCHeading"/>
            <w:spacing w:before="0" w:after="160" w:line="240" w:lineRule="auto"/>
          </w:pPr>
          <w:r w:rsidRPr="004163D7">
            <w:rPr>
              <w:lang w:val="en-GB"/>
            </w:rPr>
            <w:t>Contents</w:t>
          </w:r>
          <w:r>
            <w:rPr>
              <w:rFonts w:eastAsia="Calibri"/>
            </w:rPr>
            <w:fldChar w:fldCharType="begin"/>
          </w:r>
          <w:r>
            <w:instrText xml:space="preserve"> TOC \o "1-3" \h \z \u </w:instrText>
          </w:r>
          <w:r>
            <w:rPr>
              <w:rFonts w:eastAsia="Calibri"/>
            </w:rPr>
            <w:fldChar w:fldCharType="separate"/>
          </w:r>
        </w:p>
        <w:p w14:paraId="12EB4832" w14:textId="6521BC63"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34" w:history="1">
            <w:r w:rsidRPr="00AE4495">
              <w:rPr>
                <w:rStyle w:val="Hyperlink"/>
              </w:rPr>
              <w:t>1. Purpose</w:t>
            </w:r>
            <w:r>
              <w:rPr>
                <w:webHidden/>
              </w:rPr>
              <w:tab/>
            </w:r>
            <w:r>
              <w:rPr>
                <w:webHidden/>
              </w:rPr>
              <w:fldChar w:fldCharType="begin"/>
            </w:r>
            <w:r>
              <w:rPr>
                <w:webHidden/>
              </w:rPr>
              <w:instrText xml:space="preserve"> PAGEREF _Toc190856834 \h </w:instrText>
            </w:r>
            <w:r>
              <w:rPr>
                <w:webHidden/>
              </w:rPr>
            </w:r>
            <w:r>
              <w:rPr>
                <w:webHidden/>
              </w:rPr>
              <w:fldChar w:fldCharType="separate"/>
            </w:r>
            <w:r w:rsidR="00140BE8">
              <w:rPr>
                <w:webHidden/>
              </w:rPr>
              <w:t>6</w:t>
            </w:r>
            <w:r>
              <w:rPr>
                <w:webHidden/>
              </w:rPr>
              <w:fldChar w:fldCharType="end"/>
            </w:r>
          </w:hyperlink>
        </w:p>
        <w:p w14:paraId="673D5D3C" w14:textId="4BEB5BAB"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35" w:history="1">
            <w:r w:rsidRPr="00AE4495">
              <w:rPr>
                <w:rStyle w:val="Hyperlink"/>
              </w:rPr>
              <w:t>2. Key findings</w:t>
            </w:r>
            <w:r>
              <w:rPr>
                <w:webHidden/>
              </w:rPr>
              <w:tab/>
            </w:r>
            <w:r>
              <w:rPr>
                <w:webHidden/>
              </w:rPr>
              <w:fldChar w:fldCharType="begin"/>
            </w:r>
            <w:r>
              <w:rPr>
                <w:webHidden/>
              </w:rPr>
              <w:instrText xml:space="preserve"> PAGEREF _Toc190856835 \h </w:instrText>
            </w:r>
            <w:r>
              <w:rPr>
                <w:webHidden/>
              </w:rPr>
            </w:r>
            <w:r>
              <w:rPr>
                <w:webHidden/>
              </w:rPr>
              <w:fldChar w:fldCharType="separate"/>
            </w:r>
            <w:r w:rsidR="00140BE8">
              <w:rPr>
                <w:webHidden/>
              </w:rPr>
              <w:t>7</w:t>
            </w:r>
            <w:r>
              <w:rPr>
                <w:webHidden/>
              </w:rPr>
              <w:fldChar w:fldCharType="end"/>
            </w:r>
          </w:hyperlink>
        </w:p>
        <w:p w14:paraId="382EB40B" w14:textId="71041812"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36" w:history="1">
            <w:r w:rsidRPr="00AE4495">
              <w:rPr>
                <w:rStyle w:val="Hyperlink"/>
              </w:rPr>
              <w:t>3. Introduction</w:t>
            </w:r>
            <w:r>
              <w:rPr>
                <w:webHidden/>
              </w:rPr>
              <w:tab/>
            </w:r>
            <w:r>
              <w:rPr>
                <w:webHidden/>
              </w:rPr>
              <w:fldChar w:fldCharType="begin"/>
            </w:r>
            <w:r>
              <w:rPr>
                <w:webHidden/>
              </w:rPr>
              <w:instrText xml:space="preserve"> PAGEREF _Toc190856836 \h </w:instrText>
            </w:r>
            <w:r>
              <w:rPr>
                <w:webHidden/>
              </w:rPr>
            </w:r>
            <w:r>
              <w:rPr>
                <w:webHidden/>
              </w:rPr>
              <w:fldChar w:fldCharType="separate"/>
            </w:r>
            <w:r w:rsidR="00140BE8">
              <w:rPr>
                <w:webHidden/>
              </w:rPr>
              <w:t>8</w:t>
            </w:r>
            <w:r>
              <w:rPr>
                <w:webHidden/>
              </w:rPr>
              <w:fldChar w:fldCharType="end"/>
            </w:r>
          </w:hyperlink>
        </w:p>
        <w:p w14:paraId="72BDDD63" w14:textId="6D5796DB"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37" w:history="1">
            <w:r w:rsidRPr="00AE4495">
              <w:rPr>
                <w:rStyle w:val="Hyperlink"/>
              </w:rPr>
              <w:t>4. HDS findings about disability prevalence</w:t>
            </w:r>
            <w:r>
              <w:rPr>
                <w:webHidden/>
              </w:rPr>
              <w:tab/>
            </w:r>
            <w:r>
              <w:rPr>
                <w:webHidden/>
              </w:rPr>
              <w:fldChar w:fldCharType="begin"/>
            </w:r>
            <w:r>
              <w:rPr>
                <w:webHidden/>
              </w:rPr>
              <w:instrText xml:space="preserve"> PAGEREF _Toc190856837 \h </w:instrText>
            </w:r>
            <w:r>
              <w:rPr>
                <w:webHidden/>
              </w:rPr>
            </w:r>
            <w:r>
              <w:rPr>
                <w:webHidden/>
              </w:rPr>
              <w:fldChar w:fldCharType="separate"/>
            </w:r>
            <w:r w:rsidR="00140BE8">
              <w:rPr>
                <w:webHidden/>
              </w:rPr>
              <w:t>9</w:t>
            </w:r>
            <w:r>
              <w:rPr>
                <w:webHidden/>
              </w:rPr>
              <w:fldChar w:fldCharType="end"/>
            </w:r>
          </w:hyperlink>
        </w:p>
        <w:p w14:paraId="78E32588" w14:textId="32BFBB63"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38" w:history="1">
            <w:r w:rsidRPr="00AE4495">
              <w:rPr>
                <w:rStyle w:val="Hyperlink"/>
              </w:rPr>
              <w:t>4.1 By age group</w:t>
            </w:r>
            <w:r>
              <w:rPr>
                <w:webHidden/>
              </w:rPr>
              <w:tab/>
            </w:r>
            <w:r>
              <w:rPr>
                <w:webHidden/>
              </w:rPr>
              <w:fldChar w:fldCharType="begin"/>
            </w:r>
            <w:r>
              <w:rPr>
                <w:webHidden/>
              </w:rPr>
              <w:instrText xml:space="preserve"> PAGEREF _Toc190856838 \h </w:instrText>
            </w:r>
            <w:r>
              <w:rPr>
                <w:webHidden/>
              </w:rPr>
            </w:r>
            <w:r>
              <w:rPr>
                <w:webHidden/>
              </w:rPr>
              <w:fldChar w:fldCharType="separate"/>
            </w:r>
            <w:r w:rsidR="00140BE8">
              <w:rPr>
                <w:webHidden/>
              </w:rPr>
              <w:t>9</w:t>
            </w:r>
            <w:r>
              <w:rPr>
                <w:webHidden/>
              </w:rPr>
              <w:fldChar w:fldCharType="end"/>
            </w:r>
          </w:hyperlink>
        </w:p>
        <w:p w14:paraId="3D23DB4D" w14:textId="79AAC391"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39" w:history="1">
            <w:r w:rsidRPr="00AE4495">
              <w:rPr>
                <w:rStyle w:val="Hyperlink"/>
              </w:rPr>
              <w:t>4.2 By gender</w:t>
            </w:r>
            <w:r>
              <w:rPr>
                <w:webHidden/>
              </w:rPr>
              <w:tab/>
            </w:r>
            <w:r>
              <w:rPr>
                <w:webHidden/>
              </w:rPr>
              <w:fldChar w:fldCharType="begin"/>
            </w:r>
            <w:r>
              <w:rPr>
                <w:webHidden/>
              </w:rPr>
              <w:instrText xml:space="preserve"> PAGEREF _Toc190856839 \h </w:instrText>
            </w:r>
            <w:r>
              <w:rPr>
                <w:webHidden/>
              </w:rPr>
            </w:r>
            <w:r>
              <w:rPr>
                <w:webHidden/>
              </w:rPr>
              <w:fldChar w:fldCharType="separate"/>
            </w:r>
            <w:r w:rsidR="00140BE8">
              <w:rPr>
                <w:webHidden/>
              </w:rPr>
              <w:t>10</w:t>
            </w:r>
            <w:r>
              <w:rPr>
                <w:webHidden/>
              </w:rPr>
              <w:fldChar w:fldCharType="end"/>
            </w:r>
          </w:hyperlink>
        </w:p>
        <w:p w14:paraId="23A0ED6B" w14:textId="3383ACAF"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40" w:history="1">
            <w:r w:rsidRPr="00AE4495">
              <w:rPr>
                <w:rStyle w:val="Hyperlink"/>
              </w:rPr>
              <w:t>4.3 By ethnic group</w:t>
            </w:r>
            <w:r>
              <w:rPr>
                <w:webHidden/>
              </w:rPr>
              <w:tab/>
            </w:r>
            <w:r>
              <w:rPr>
                <w:webHidden/>
              </w:rPr>
              <w:fldChar w:fldCharType="begin"/>
            </w:r>
            <w:r>
              <w:rPr>
                <w:webHidden/>
              </w:rPr>
              <w:instrText xml:space="preserve"> PAGEREF _Toc190856840 \h </w:instrText>
            </w:r>
            <w:r>
              <w:rPr>
                <w:webHidden/>
              </w:rPr>
            </w:r>
            <w:r>
              <w:rPr>
                <w:webHidden/>
              </w:rPr>
              <w:fldChar w:fldCharType="separate"/>
            </w:r>
            <w:r w:rsidR="00140BE8">
              <w:rPr>
                <w:webHidden/>
              </w:rPr>
              <w:t>11</w:t>
            </w:r>
            <w:r>
              <w:rPr>
                <w:webHidden/>
              </w:rPr>
              <w:fldChar w:fldCharType="end"/>
            </w:r>
          </w:hyperlink>
        </w:p>
        <w:p w14:paraId="6FC0F08B" w14:textId="40C98F54"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41" w:history="1">
            <w:r w:rsidRPr="00AE4495">
              <w:rPr>
                <w:rStyle w:val="Hyperlink"/>
              </w:rPr>
              <w:t>4.4 By LGBTIQ+ status</w:t>
            </w:r>
            <w:r>
              <w:rPr>
                <w:webHidden/>
              </w:rPr>
              <w:tab/>
            </w:r>
            <w:r>
              <w:rPr>
                <w:webHidden/>
              </w:rPr>
              <w:fldChar w:fldCharType="begin"/>
            </w:r>
            <w:r>
              <w:rPr>
                <w:webHidden/>
              </w:rPr>
              <w:instrText xml:space="preserve"> PAGEREF _Toc190856841 \h </w:instrText>
            </w:r>
            <w:r>
              <w:rPr>
                <w:webHidden/>
              </w:rPr>
            </w:r>
            <w:r>
              <w:rPr>
                <w:webHidden/>
              </w:rPr>
              <w:fldChar w:fldCharType="separate"/>
            </w:r>
            <w:r w:rsidR="00140BE8">
              <w:rPr>
                <w:webHidden/>
              </w:rPr>
              <w:t>12</w:t>
            </w:r>
            <w:r>
              <w:rPr>
                <w:webHidden/>
              </w:rPr>
              <w:fldChar w:fldCharType="end"/>
            </w:r>
          </w:hyperlink>
        </w:p>
        <w:p w14:paraId="57D8FA0F" w14:textId="16651BE6"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42" w:history="1">
            <w:r w:rsidRPr="00AE4495">
              <w:rPr>
                <w:rStyle w:val="Hyperlink"/>
              </w:rPr>
              <w:t>4.5 By region</w:t>
            </w:r>
            <w:r>
              <w:rPr>
                <w:webHidden/>
              </w:rPr>
              <w:tab/>
            </w:r>
            <w:r>
              <w:rPr>
                <w:webHidden/>
              </w:rPr>
              <w:fldChar w:fldCharType="begin"/>
            </w:r>
            <w:r>
              <w:rPr>
                <w:webHidden/>
              </w:rPr>
              <w:instrText xml:space="preserve"> PAGEREF _Toc190856842 \h </w:instrText>
            </w:r>
            <w:r>
              <w:rPr>
                <w:webHidden/>
              </w:rPr>
            </w:r>
            <w:r>
              <w:rPr>
                <w:webHidden/>
              </w:rPr>
              <w:fldChar w:fldCharType="separate"/>
            </w:r>
            <w:r w:rsidR="00140BE8">
              <w:rPr>
                <w:webHidden/>
              </w:rPr>
              <w:t>12</w:t>
            </w:r>
            <w:r>
              <w:rPr>
                <w:webHidden/>
              </w:rPr>
              <w:fldChar w:fldCharType="end"/>
            </w:r>
          </w:hyperlink>
        </w:p>
        <w:p w14:paraId="39FDEB24" w14:textId="5D481B08"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43" w:history="1">
            <w:r w:rsidRPr="00AE4495">
              <w:rPr>
                <w:rStyle w:val="Hyperlink"/>
              </w:rPr>
              <w:t>5. HDS findings about functional domains</w:t>
            </w:r>
            <w:r>
              <w:rPr>
                <w:webHidden/>
              </w:rPr>
              <w:tab/>
            </w:r>
            <w:r>
              <w:rPr>
                <w:webHidden/>
              </w:rPr>
              <w:fldChar w:fldCharType="begin"/>
            </w:r>
            <w:r>
              <w:rPr>
                <w:webHidden/>
              </w:rPr>
              <w:instrText xml:space="preserve"> PAGEREF _Toc190856843 \h </w:instrText>
            </w:r>
            <w:r>
              <w:rPr>
                <w:webHidden/>
              </w:rPr>
            </w:r>
            <w:r>
              <w:rPr>
                <w:webHidden/>
              </w:rPr>
              <w:fldChar w:fldCharType="separate"/>
            </w:r>
            <w:r w:rsidR="00140BE8">
              <w:rPr>
                <w:webHidden/>
              </w:rPr>
              <w:t>14</w:t>
            </w:r>
            <w:r>
              <w:rPr>
                <w:webHidden/>
              </w:rPr>
              <w:fldChar w:fldCharType="end"/>
            </w:r>
          </w:hyperlink>
        </w:p>
        <w:p w14:paraId="5D3287D0" w14:textId="243618F3"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44" w:history="1">
            <w:r w:rsidRPr="00AE4495">
              <w:rPr>
                <w:rStyle w:val="Hyperlink"/>
              </w:rPr>
              <w:t>5.1 Functional domains for adults</w:t>
            </w:r>
            <w:r>
              <w:rPr>
                <w:webHidden/>
              </w:rPr>
              <w:tab/>
            </w:r>
            <w:r>
              <w:rPr>
                <w:webHidden/>
              </w:rPr>
              <w:fldChar w:fldCharType="begin"/>
            </w:r>
            <w:r>
              <w:rPr>
                <w:webHidden/>
              </w:rPr>
              <w:instrText xml:space="preserve"> PAGEREF _Toc190856844 \h </w:instrText>
            </w:r>
            <w:r>
              <w:rPr>
                <w:webHidden/>
              </w:rPr>
            </w:r>
            <w:r>
              <w:rPr>
                <w:webHidden/>
              </w:rPr>
              <w:fldChar w:fldCharType="separate"/>
            </w:r>
            <w:r w:rsidR="00140BE8">
              <w:rPr>
                <w:webHidden/>
              </w:rPr>
              <w:t>14</w:t>
            </w:r>
            <w:r>
              <w:rPr>
                <w:webHidden/>
              </w:rPr>
              <w:fldChar w:fldCharType="end"/>
            </w:r>
          </w:hyperlink>
        </w:p>
        <w:p w14:paraId="76911831" w14:textId="0CF5F97C"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45" w:history="1">
            <w:r w:rsidRPr="00AE4495">
              <w:rPr>
                <w:rStyle w:val="Hyperlink"/>
                <w:noProof/>
              </w:rPr>
              <w:t>5.1.1 By gender</w:t>
            </w:r>
            <w:r>
              <w:rPr>
                <w:noProof/>
                <w:webHidden/>
              </w:rPr>
              <w:tab/>
            </w:r>
            <w:r>
              <w:rPr>
                <w:noProof/>
                <w:webHidden/>
              </w:rPr>
              <w:fldChar w:fldCharType="begin"/>
            </w:r>
            <w:r>
              <w:rPr>
                <w:noProof/>
                <w:webHidden/>
              </w:rPr>
              <w:instrText xml:space="preserve"> PAGEREF _Toc190856845 \h </w:instrText>
            </w:r>
            <w:r>
              <w:rPr>
                <w:noProof/>
                <w:webHidden/>
              </w:rPr>
            </w:r>
            <w:r>
              <w:rPr>
                <w:noProof/>
                <w:webHidden/>
              </w:rPr>
              <w:fldChar w:fldCharType="separate"/>
            </w:r>
            <w:r w:rsidR="00140BE8">
              <w:rPr>
                <w:noProof/>
                <w:webHidden/>
              </w:rPr>
              <w:t>15</w:t>
            </w:r>
            <w:r>
              <w:rPr>
                <w:noProof/>
                <w:webHidden/>
              </w:rPr>
              <w:fldChar w:fldCharType="end"/>
            </w:r>
          </w:hyperlink>
        </w:p>
        <w:p w14:paraId="375A03A4" w14:textId="2A7F08AF"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46" w:history="1">
            <w:r w:rsidRPr="00AE4495">
              <w:rPr>
                <w:rStyle w:val="Hyperlink"/>
                <w:noProof/>
              </w:rPr>
              <w:t>5.1.2 By age group</w:t>
            </w:r>
            <w:r>
              <w:rPr>
                <w:noProof/>
                <w:webHidden/>
              </w:rPr>
              <w:tab/>
            </w:r>
            <w:r>
              <w:rPr>
                <w:noProof/>
                <w:webHidden/>
              </w:rPr>
              <w:fldChar w:fldCharType="begin"/>
            </w:r>
            <w:r>
              <w:rPr>
                <w:noProof/>
                <w:webHidden/>
              </w:rPr>
              <w:instrText xml:space="preserve"> PAGEREF _Toc190856846 \h </w:instrText>
            </w:r>
            <w:r>
              <w:rPr>
                <w:noProof/>
                <w:webHidden/>
              </w:rPr>
            </w:r>
            <w:r>
              <w:rPr>
                <w:noProof/>
                <w:webHidden/>
              </w:rPr>
              <w:fldChar w:fldCharType="separate"/>
            </w:r>
            <w:r w:rsidR="00140BE8">
              <w:rPr>
                <w:noProof/>
                <w:webHidden/>
              </w:rPr>
              <w:t>16</w:t>
            </w:r>
            <w:r>
              <w:rPr>
                <w:noProof/>
                <w:webHidden/>
              </w:rPr>
              <w:fldChar w:fldCharType="end"/>
            </w:r>
          </w:hyperlink>
        </w:p>
        <w:p w14:paraId="134A7D87" w14:textId="63054BD8"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47" w:history="1">
            <w:r w:rsidRPr="00AE4495">
              <w:rPr>
                <w:rStyle w:val="Hyperlink"/>
                <w:noProof/>
              </w:rPr>
              <w:t>5.1.3 By ethic group</w:t>
            </w:r>
            <w:r>
              <w:rPr>
                <w:noProof/>
                <w:webHidden/>
              </w:rPr>
              <w:tab/>
            </w:r>
            <w:r>
              <w:rPr>
                <w:noProof/>
                <w:webHidden/>
              </w:rPr>
              <w:fldChar w:fldCharType="begin"/>
            </w:r>
            <w:r>
              <w:rPr>
                <w:noProof/>
                <w:webHidden/>
              </w:rPr>
              <w:instrText xml:space="preserve"> PAGEREF _Toc190856847 \h </w:instrText>
            </w:r>
            <w:r>
              <w:rPr>
                <w:noProof/>
                <w:webHidden/>
              </w:rPr>
            </w:r>
            <w:r>
              <w:rPr>
                <w:noProof/>
                <w:webHidden/>
              </w:rPr>
              <w:fldChar w:fldCharType="separate"/>
            </w:r>
            <w:r w:rsidR="00140BE8">
              <w:rPr>
                <w:noProof/>
                <w:webHidden/>
              </w:rPr>
              <w:t>16</w:t>
            </w:r>
            <w:r>
              <w:rPr>
                <w:noProof/>
                <w:webHidden/>
              </w:rPr>
              <w:fldChar w:fldCharType="end"/>
            </w:r>
          </w:hyperlink>
        </w:p>
        <w:p w14:paraId="2BBE5A71" w14:textId="4E6DF716"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48" w:history="1">
            <w:r w:rsidRPr="00AE4495">
              <w:rPr>
                <w:rStyle w:val="Hyperlink"/>
                <w:noProof/>
              </w:rPr>
              <w:t>5.1.4 By LGBTIQ+ status</w:t>
            </w:r>
            <w:r>
              <w:rPr>
                <w:noProof/>
                <w:webHidden/>
              </w:rPr>
              <w:tab/>
            </w:r>
            <w:r>
              <w:rPr>
                <w:noProof/>
                <w:webHidden/>
              </w:rPr>
              <w:fldChar w:fldCharType="begin"/>
            </w:r>
            <w:r>
              <w:rPr>
                <w:noProof/>
                <w:webHidden/>
              </w:rPr>
              <w:instrText xml:space="preserve"> PAGEREF _Toc190856848 \h </w:instrText>
            </w:r>
            <w:r>
              <w:rPr>
                <w:noProof/>
                <w:webHidden/>
              </w:rPr>
            </w:r>
            <w:r>
              <w:rPr>
                <w:noProof/>
                <w:webHidden/>
              </w:rPr>
              <w:fldChar w:fldCharType="separate"/>
            </w:r>
            <w:r w:rsidR="00140BE8">
              <w:rPr>
                <w:noProof/>
                <w:webHidden/>
              </w:rPr>
              <w:t>17</w:t>
            </w:r>
            <w:r>
              <w:rPr>
                <w:noProof/>
                <w:webHidden/>
              </w:rPr>
              <w:fldChar w:fldCharType="end"/>
            </w:r>
          </w:hyperlink>
        </w:p>
        <w:p w14:paraId="40A075F2" w14:textId="60FB0B67"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49" w:history="1">
            <w:r w:rsidRPr="00AE4495">
              <w:rPr>
                <w:rStyle w:val="Hyperlink"/>
              </w:rPr>
              <w:t>5.2 Functional domains for children</w:t>
            </w:r>
            <w:r>
              <w:rPr>
                <w:webHidden/>
              </w:rPr>
              <w:tab/>
            </w:r>
            <w:r>
              <w:rPr>
                <w:webHidden/>
              </w:rPr>
              <w:fldChar w:fldCharType="begin"/>
            </w:r>
            <w:r>
              <w:rPr>
                <w:webHidden/>
              </w:rPr>
              <w:instrText xml:space="preserve"> PAGEREF _Toc190856849 \h </w:instrText>
            </w:r>
            <w:r>
              <w:rPr>
                <w:webHidden/>
              </w:rPr>
            </w:r>
            <w:r>
              <w:rPr>
                <w:webHidden/>
              </w:rPr>
              <w:fldChar w:fldCharType="separate"/>
            </w:r>
            <w:r w:rsidR="00140BE8">
              <w:rPr>
                <w:webHidden/>
              </w:rPr>
              <w:t>17</w:t>
            </w:r>
            <w:r>
              <w:rPr>
                <w:webHidden/>
              </w:rPr>
              <w:fldChar w:fldCharType="end"/>
            </w:r>
          </w:hyperlink>
        </w:p>
        <w:p w14:paraId="66D99709" w14:textId="5DAF211F"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50" w:history="1">
            <w:r w:rsidRPr="00AE4495">
              <w:rPr>
                <w:rStyle w:val="Hyperlink"/>
                <w:noProof/>
              </w:rPr>
              <w:t>5.2.1 By gender</w:t>
            </w:r>
            <w:r>
              <w:rPr>
                <w:noProof/>
                <w:webHidden/>
              </w:rPr>
              <w:tab/>
            </w:r>
            <w:r>
              <w:rPr>
                <w:noProof/>
                <w:webHidden/>
              </w:rPr>
              <w:fldChar w:fldCharType="begin"/>
            </w:r>
            <w:r>
              <w:rPr>
                <w:noProof/>
                <w:webHidden/>
              </w:rPr>
              <w:instrText xml:space="preserve"> PAGEREF _Toc190856850 \h </w:instrText>
            </w:r>
            <w:r>
              <w:rPr>
                <w:noProof/>
                <w:webHidden/>
              </w:rPr>
            </w:r>
            <w:r>
              <w:rPr>
                <w:noProof/>
                <w:webHidden/>
              </w:rPr>
              <w:fldChar w:fldCharType="separate"/>
            </w:r>
            <w:r w:rsidR="00140BE8">
              <w:rPr>
                <w:noProof/>
                <w:webHidden/>
              </w:rPr>
              <w:t>18</w:t>
            </w:r>
            <w:r>
              <w:rPr>
                <w:noProof/>
                <w:webHidden/>
              </w:rPr>
              <w:fldChar w:fldCharType="end"/>
            </w:r>
          </w:hyperlink>
        </w:p>
        <w:p w14:paraId="4484111B" w14:textId="063FD3CA"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51" w:history="1">
            <w:r w:rsidRPr="00AE4495">
              <w:rPr>
                <w:rStyle w:val="Hyperlink"/>
                <w:noProof/>
              </w:rPr>
              <w:t>5.2.2 By ethnic group</w:t>
            </w:r>
            <w:r>
              <w:rPr>
                <w:noProof/>
                <w:webHidden/>
              </w:rPr>
              <w:tab/>
            </w:r>
            <w:r>
              <w:rPr>
                <w:noProof/>
                <w:webHidden/>
              </w:rPr>
              <w:fldChar w:fldCharType="begin"/>
            </w:r>
            <w:r>
              <w:rPr>
                <w:noProof/>
                <w:webHidden/>
              </w:rPr>
              <w:instrText xml:space="preserve"> PAGEREF _Toc190856851 \h </w:instrText>
            </w:r>
            <w:r>
              <w:rPr>
                <w:noProof/>
                <w:webHidden/>
              </w:rPr>
            </w:r>
            <w:r>
              <w:rPr>
                <w:noProof/>
                <w:webHidden/>
              </w:rPr>
              <w:fldChar w:fldCharType="separate"/>
            </w:r>
            <w:r w:rsidR="00140BE8">
              <w:rPr>
                <w:noProof/>
                <w:webHidden/>
              </w:rPr>
              <w:t>19</w:t>
            </w:r>
            <w:r>
              <w:rPr>
                <w:noProof/>
                <w:webHidden/>
              </w:rPr>
              <w:fldChar w:fldCharType="end"/>
            </w:r>
          </w:hyperlink>
        </w:p>
        <w:p w14:paraId="199114AC" w14:textId="4C9AA252"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52" w:history="1">
            <w:r w:rsidRPr="00AE4495">
              <w:rPr>
                <w:rStyle w:val="Hyperlink"/>
              </w:rPr>
              <w:t>6. Definitions</w:t>
            </w:r>
            <w:r>
              <w:rPr>
                <w:webHidden/>
              </w:rPr>
              <w:tab/>
            </w:r>
            <w:r>
              <w:rPr>
                <w:webHidden/>
              </w:rPr>
              <w:fldChar w:fldCharType="begin"/>
            </w:r>
            <w:r>
              <w:rPr>
                <w:webHidden/>
              </w:rPr>
              <w:instrText xml:space="preserve"> PAGEREF _Toc190856852 \h </w:instrText>
            </w:r>
            <w:r>
              <w:rPr>
                <w:webHidden/>
              </w:rPr>
            </w:r>
            <w:r>
              <w:rPr>
                <w:webHidden/>
              </w:rPr>
              <w:fldChar w:fldCharType="separate"/>
            </w:r>
            <w:r w:rsidR="00140BE8">
              <w:rPr>
                <w:webHidden/>
              </w:rPr>
              <w:t>20</w:t>
            </w:r>
            <w:r>
              <w:rPr>
                <w:webHidden/>
              </w:rPr>
              <w:fldChar w:fldCharType="end"/>
            </w:r>
          </w:hyperlink>
        </w:p>
        <w:p w14:paraId="6DD2D87B" w14:textId="5BAF98D5"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53" w:history="1">
            <w:r w:rsidRPr="00AE4495">
              <w:rPr>
                <w:rStyle w:val="Hyperlink"/>
              </w:rPr>
              <w:t>6.1 Defining disability</w:t>
            </w:r>
            <w:r>
              <w:rPr>
                <w:webHidden/>
              </w:rPr>
              <w:tab/>
            </w:r>
            <w:r>
              <w:rPr>
                <w:webHidden/>
              </w:rPr>
              <w:fldChar w:fldCharType="begin"/>
            </w:r>
            <w:r>
              <w:rPr>
                <w:webHidden/>
              </w:rPr>
              <w:instrText xml:space="preserve"> PAGEREF _Toc190856853 \h </w:instrText>
            </w:r>
            <w:r>
              <w:rPr>
                <w:webHidden/>
              </w:rPr>
            </w:r>
            <w:r>
              <w:rPr>
                <w:webHidden/>
              </w:rPr>
              <w:fldChar w:fldCharType="separate"/>
            </w:r>
            <w:r w:rsidR="00140BE8">
              <w:rPr>
                <w:webHidden/>
              </w:rPr>
              <w:t>20</w:t>
            </w:r>
            <w:r>
              <w:rPr>
                <w:webHidden/>
              </w:rPr>
              <w:fldChar w:fldCharType="end"/>
            </w:r>
          </w:hyperlink>
        </w:p>
        <w:p w14:paraId="4CC7EA42" w14:textId="27FD9B65"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54" w:history="1">
            <w:r w:rsidRPr="00AE4495">
              <w:rPr>
                <w:rStyle w:val="Hyperlink"/>
                <w:noProof/>
              </w:rPr>
              <w:t>6.1.1 Functional domains included in the 2023 HDS</w:t>
            </w:r>
            <w:r>
              <w:rPr>
                <w:noProof/>
                <w:webHidden/>
              </w:rPr>
              <w:tab/>
            </w:r>
            <w:r>
              <w:rPr>
                <w:noProof/>
                <w:webHidden/>
              </w:rPr>
              <w:fldChar w:fldCharType="begin"/>
            </w:r>
            <w:r>
              <w:rPr>
                <w:noProof/>
                <w:webHidden/>
              </w:rPr>
              <w:instrText xml:space="preserve"> PAGEREF _Toc190856854 \h </w:instrText>
            </w:r>
            <w:r>
              <w:rPr>
                <w:noProof/>
                <w:webHidden/>
              </w:rPr>
            </w:r>
            <w:r>
              <w:rPr>
                <w:noProof/>
                <w:webHidden/>
              </w:rPr>
              <w:fldChar w:fldCharType="separate"/>
            </w:r>
            <w:r w:rsidR="00140BE8">
              <w:rPr>
                <w:noProof/>
                <w:webHidden/>
              </w:rPr>
              <w:t>21</w:t>
            </w:r>
            <w:r>
              <w:rPr>
                <w:noProof/>
                <w:webHidden/>
              </w:rPr>
              <w:fldChar w:fldCharType="end"/>
            </w:r>
          </w:hyperlink>
        </w:p>
        <w:p w14:paraId="2C72BE52" w14:textId="622A731C"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55" w:history="1">
            <w:r w:rsidRPr="00AE4495">
              <w:rPr>
                <w:rStyle w:val="Hyperlink"/>
                <w:noProof/>
              </w:rPr>
              <w:t>6.1.2 The threshold for counting a person as disabled</w:t>
            </w:r>
            <w:r>
              <w:rPr>
                <w:noProof/>
                <w:webHidden/>
              </w:rPr>
              <w:tab/>
            </w:r>
            <w:r>
              <w:rPr>
                <w:noProof/>
                <w:webHidden/>
              </w:rPr>
              <w:fldChar w:fldCharType="begin"/>
            </w:r>
            <w:r>
              <w:rPr>
                <w:noProof/>
                <w:webHidden/>
              </w:rPr>
              <w:instrText xml:space="preserve"> PAGEREF _Toc190856855 \h </w:instrText>
            </w:r>
            <w:r>
              <w:rPr>
                <w:noProof/>
                <w:webHidden/>
              </w:rPr>
            </w:r>
            <w:r>
              <w:rPr>
                <w:noProof/>
                <w:webHidden/>
              </w:rPr>
              <w:fldChar w:fldCharType="separate"/>
            </w:r>
            <w:r w:rsidR="00140BE8">
              <w:rPr>
                <w:noProof/>
                <w:webHidden/>
              </w:rPr>
              <w:t>22</w:t>
            </w:r>
            <w:r>
              <w:rPr>
                <w:noProof/>
                <w:webHidden/>
              </w:rPr>
              <w:fldChar w:fldCharType="end"/>
            </w:r>
          </w:hyperlink>
        </w:p>
        <w:p w14:paraId="48FC092F" w14:textId="342173A3"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56" w:history="1">
            <w:r w:rsidRPr="00AE4495">
              <w:rPr>
                <w:rStyle w:val="Hyperlink"/>
                <w:noProof/>
              </w:rPr>
              <w:t>6.1.3 The treatment of assistive equipment or technology</w:t>
            </w:r>
            <w:r>
              <w:rPr>
                <w:noProof/>
                <w:webHidden/>
              </w:rPr>
              <w:tab/>
            </w:r>
            <w:r>
              <w:rPr>
                <w:noProof/>
                <w:webHidden/>
              </w:rPr>
              <w:fldChar w:fldCharType="begin"/>
            </w:r>
            <w:r>
              <w:rPr>
                <w:noProof/>
                <w:webHidden/>
              </w:rPr>
              <w:instrText xml:space="preserve"> PAGEREF _Toc190856856 \h </w:instrText>
            </w:r>
            <w:r>
              <w:rPr>
                <w:noProof/>
                <w:webHidden/>
              </w:rPr>
            </w:r>
            <w:r>
              <w:rPr>
                <w:noProof/>
                <w:webHidden/>
              </w:rPr>
              <w:fldChar w:fldCharType="separate"/>
            </w:r>
            <w:r w:rsidR="00140BE8">
              <w:rPr>
                <w:noProof/>
                <w:webHidden/>
              </w:rPr>
              <w:t>22</w:t>
            </w:r>
            <w:r>
              <w:rPr>
                <w:noProof/>
                <w:webHidden/>
              </w:rPr>
              <w:fldChar w:fldCharType="end"/>
            </w:r>
          </w:hyperlink>
        </w:p>
        <w:p w14:paraId="07F92F29" w14:textId="69AAAAA8"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57" w:history="1">
            <w:r w:rsidRPr="00AE4495">
              <w:rPr>
                <w:rStyle w:val="Hyperlink"/>
              </w:rPr>
              <w:t>6.2 Definitions of terms</w:t>
            </w:r>
            <w:r>
              <w:rPr>
                <w:webHidden/>
              </w:rPr>
              <w:tab/>
            </w:r>
            <w:r>
              <w:rPr>
                <w:webHidden/>
              </w:rPr>
              <w:fldChar w:fldCharType="begin"/>
            </w:r>
            <w:r>
              <w:rPr>
                <w:webHidden/>
              </w:rPr>
              <w:instrText xml:space="preserve"> PAGEREF _Toc190856857 \h </w:instrText>
            </w:r>
            <w:r>
              <w:rPr>
                <w:webHidden/>
              </w:rPr>
            </w:r>
            <w:r>
              <w:rPr>
                <w:webHidden/>
              </w:rPr>
              <w:fldChar w:fldCharType="separate"/>
            </w:r>
            <w:r w:rsidR="00140BE8">
              <w:rPr>
                <w:webHidden/>
              </w:rPr>
              <w:t>23</w:t>
            </w:r>
            <w:r>
              <w:rPr>
                <w:webHidden/>
              </w:rPr>
              <w:fldChar w:fldCharType="end"/>
            </w:r>
          </w:hyperlink>
        </w:p>
        <w:p w14:paraId="7D92FEA0" w14:textId="6DF3072E"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58" w:history="1">
            <w:r w:rsidRPr="00AE4495">
              <w:rPr>
                <w:rStyle w:val="Hyperlink"/>
              </w:rPr>
              <w:t>7. Survey design summary</w:t>
            </w:r>
            <w:r>
              <w:rPr>
                <w:webHidden/>
              </w:rPr>
              <w:tab/>
            </w:r>
            <w:r>
              <w:rPr>
                <w:webHidden/>
              </w:rPr>
              <w:fldChar w:fldCharType="begin"/>
            </w:r>
            <w:r>
              <w:rPr>
                <w:webHidden/>
              </w:rPr>
              <w:instrText xml:space="preserve"> PAGEREF _Toc190856858 \h </w:instrText>
            </w:r>
            <w:r>
              <w:rPr>
                <w:webHidden/>
              </w:rPr>
            </w:r>
            <w:r>
              <w:rPr>
                <w:webHidden/>
              </w:rPr>
              <w:fldChar w:fldCharType="separate"/>
            </w:r>
            <w:r w:rsidR="00140BE8">
              <w:rPr>
                <w:webHidden/>
              </w:rPr>
              <w:t>26</w:t>
            </w:r>
            <w:r>
              <w:rPr>
                <w:webHidden/>
              </w:rPr>
              <w:fldChar w:fldCharType="end"/>
            </w:r>
          </w:hyperlink>
        </w:p>
        <w:p w14:paraId="0B3F2BF3" w14:textId="59498EDC"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59" w:history="1">
            <w:r w:rsidRPr="00AE4495">
              <w:rPr>
                <w:rStyle w:val="Hyperlink"/>
              </w:rPr>
              <w:t>7.1 Survey purpose</w:t>
            </w:r>
            <w:r>
              <w:rPr>
                <w:webHidden/>
              </w:rPr>
              <w:tab/>
            </w:r>
            <w:r>
              <w:rPr>
                <w:webHidden/>
              </w:rPr>
              <w:fldChar w:fldCharType="begin"/>
            </w:r>
            <w:r>
              <w:rPr>
                <w:webHidden/>
              </w:rPr>
              <w:instrText xml:space="preserve"> PAGEREF _Toc190856859 \h </w:instrText>
            </w:r>
            <w:r>
              <w:rPr>
                <w:webHidden/>
              </w:rPr>
            </w:r>
            <w:r>
              <w:rPr>
                <w:webHidden/>
              </w:rPr>
              <w:fldChar w:fldCharType="separate"/>
            </w:r>
            <w:r w:rsidR="00140BE8">
              <w:rPr>
                <w:webHidden/>
              </w:rPr>
              <w:t>26</w:t>
            </w:r>
            <w:r>
              <w:rPr>
                <w:webHidden/>
              </w:rPr>
              <w:fldChar w:fldCharType="end"/>
            </w:r>
          </w:hyperlink>
        </w:p>
        <w:p w14:paraId="1185CB71" w14:textId="2695E589"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60" w:history="1">
            <w:r w:rsidRPr="00AE4495">
              <w:rPr>
                <w:rStyle w:val="Hyperlink"/>
              </w:rPr>
              <w:t>7.2 Survey objectives</w:t>
            </w:r>
            <w:r>
              <w:rPr>
                <w:webHidden/>
              </w:rPr>
              <w:tab/>
            </w:r>
            <w:r>
              <w:rPr>
                <w:webHidden/>
              </w:rPr>
              <w:fldChar w:fldCharType="begin"/>
            </w:r>
            <w:r>
              <w:rPr>
                <w:webHidden/>
              </w:rPr>
              <w:instrText xml:space="preserve"> PAGEREF _Toc190856860 \h </w:instrText>
            </w:r>
            <w:r>
              <w:rPr>
                <w:webHidden/>
              </w:rPr>
            </w:r>
            <w:r>
              <w:rPr>
                <w:webHidden/>
              </w:rPr>
              <w:fldChar w:fldCharType="separate"/>
            </w:r>
            <w:r w:rsidR="00140BE8">
              <w:rPr>
                <w:webHidden/>
              </w:rPr>
              <w:t>26</w:t>
            </w:r>
            <w:r>
              <w:rPr>
                <w:webHidden/>
              </w:rPr>
              <w:fldChar w:fldCharType="end"/>
            </w:r>
          </w:hyperlink>
        </w:p>
        <w:p w14:paraId="54DA7070" w14:textId="3675B582"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61" w:history="1">
            <w:r w:rsidRPr="00AE4495">
              <w:rPr>
                <w:rStyle w:val="Hyperlink"/>
              </w:rPr>
              <w:t>7.3 Survey content</w:t>
            </w:r>
            <w:r>
              <w:rPr>
                <w:webHidden/>
              </w:rPr>
              <w:tab/>
            </w:r>
            <w:r>
              <w:rPr>
                <w:webHidden/>
              </w:rPr>
              <w:fldChar w:fldCharType="begin"/>
            </w:r>
            <w:r>
              <w:rPr>
                <w:webHidden/>
              </w:rPr>
              <w:instrText xml:space="preserve"> PAGEREF _Toc190856861 \h </w:instrText>
            </w:r>
            <w:r>
              <w:rPr>
                <w:webHidden/>
              </w:rPr>
            </w:r>
            <w:r>
              <w:rPr>
                <w:webHidden/>
              </w:rPr>
              <w:fldChar w:fldCharType="separate"/>
            </w:r>
            <w:r w:rsidR="00140BE8">
              <w:rPr>
                <w:webHidden/>
              </w:rPr>
              <w:t>26</w:t>
            </w:r>
            <w:r>
              <w:rPr>
                <w:webHidden/>
              </w:rPr>
              <w:fldChar w:fldCharType="end"/>
            </w:r>
          </w:hyperlink>
        </w:p>
        <w:p w14:paraId="5B184FFA" w14:textId="736A7F05"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62" w:history="1">
            <w:r w:rsidRPr="00AE4495">
              <w:rPr>
                <w:rStyle w:val="Hyperlink"/>
              </w:rPr>
              <w:t>7.4 Target population</w:t>
            </w:r>
            <w:r>
              <w:rPr>
                <w:webHidden/>
              </w:rPr>
              <w:tab/>
            </w:r>
            <w:r>
              <w:rPr>
                <w:webHidden/>
              </w:rPr>
              <w:fldChar w:fldCharType="begin"/>
            </w:r>
            <w:r>
              <w:rPr>
                <w:webHidden/>
              </w:rPr>
              <w:instrText xml:space="preserve"> PAGEREF _Toc190856862 \h </w:instrText>
            </w:r>
            <w:r>
              <w:rPr>
                <w:webHidden/>
              </w:rPr>
            </w:r>
            <w:r>
              <w:rPr>
                <w:webHidden/>
              </w:rPr>
              <w:fldChar w:fldCharType="separate"/>
            </w:r>
            <w:r w:rsidR="00140BE8">
              <w:rPr>
                <w:webHidden/>
              </w:rPr>
              <w:t>27</w:t>
            </w:r>
            <w:r>
              <w:rPr>
                <w:webHidden/>
              </w:rPr>
              <w:fldChar w:fldCharType="end"/>
            </w:r>
          </w:hyperlink>
        </w:p>
        <w:p w14:paraId="4EC11B1C" w14:textId="7A1DBADA"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63" w:history="1">
            <w:r w:rsidRPr="00AE4495">
              <w:rPr>
                <w:rStyle w:val="Hyperlink"/>
              </w:rPr>
              <w:t>7.5 Sample design</w:t>
            </w:r>
            <w:r>
              <w:rPr>
                <w:webHidden/>
              </w:rPr>
              <w:tab/>
            </w:r>
            <w:r>
              <w:rPr>
                <w:webHidden/>
              </w:rPr>
              <w:fldChar w:fldCharType="begin"/>
            </w:r>
            <w:r>
              <w:rPr>
                <w:webHidden/>
              </w:rPr>
              <w:instrText xml:space="preserve"> PAGEREF _Toc190856863 \h </w:instrText>
            </w:r>
            <w:r>
              <w:rPr>
                <w:webHidden/>
              </w:rPr>
            </w:r>
            <w:r>
              <w:rPr>
                <w:webHidden/>
              </w:rPr>
              <w:fldChar w:fldCharType="separate"/>
            </w:r>
            <w:r w:rsidR="00140BE8">
              <w:rPr>
                <w:webHidden/>
              </w:rPr>
              <w:t>27</w:t>
            </w:r>
            <w:r>
              <w:rPr>
                <w:webHidden/>
              </w:rPr>
              <w:fldChar w:fldCharType="end"/>
            </w:r>
          </w:hyperlink>
        </w:p>
        <w:p w14:paraId="6139F396" w14:textId="5A7F3215"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64" w:history="1">
            <w:r w:rsidRPr="00AE4495">
              <w:rPr>
                <w:rStyle w:val="Hyperlink"/>
                <w:noProof/>
              </w:rPr>
              <w:t>7.5.1 Survey population and sampling frame</w:t>
            </w:r>
            <w:r>
              <w:rPr>
                <w:noProof/>
                <w:webHidden/>
              </w:rPr>
              <w:tab/>
            </w:r>
            <w:r>
              <w:rPr>
                <w:noProof/>
                <w:webHidden/>
              </w:rPr>
              <w:fldChar w:fldCharType="begin"/>
            </w:r>
            <w:r>
              <w:rPr>
                <w:noProof/>
                <w:webHidden/>
              </w:rPr>
              <w:instrText xml:space="preserve"> PAGEREF _Toc190856864 \h </w:instrText>
            </w:r>
            <w:r>
              <w:rPr>
                <w:noProof/>
                <w:webHidden/>
              </w:rPr>
            </w:r>
            <w:r>
              <w:rPr>
                <w:noProof/>
                <w:webHidden/>
              </w:rPr>
              <w:fldChar w:fldCharType="separate"/>
            </w:r>
            <w:r w:rsidR="00140BE8">
              <w:rPr>
                <w:noProof/>
                <w:webHidden/>
              </w:rPr>
              <w:t>28</w:t>
            </w:r>
            <w:r>
              <w:rPr>
                <w:noProof/>
                <w:webHidden/>
              </w:rPr>
              <w:fldChar w:fldCharType="end"/>
            </w:r>
          </w:hyperlink>
        </w:p>
        <w:p w14:paraId="0742A959" w14:textId="130F5817"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65" w:history="1">
            <w:r w:rsidRPr="00AE4495">
              <w:rPr>
                <w:rStyle w:val="Hyperlink"/>
                <w:noProof/>
              </w:rPr>
              <w:t>7.5.2 Selecting from strata</w:t>
            </w:r>
            <w:r>
              <w:rPr>
                <w:noProof/>
                <w:webHidden/>
              </w:rPr>
              <w:tab/>
            </w:r>
            <w:r>
              <w:rPr>
                <w:noProof/>
                <w:webHidden/>
              </w:rPr>
              <w:fldChar w:fldCharType="begin"/>
            </w:r>
            <w:r>
              <w:rPr>
                <w:noProof/>
                <w:webHidden/>
              </w:rPr>
              <w:instrText xml:space="preserve"> PAGEREF _Toc190856865 \h </w:instrText>
            </w:r>
            <w:r>
              <w:rPr>
                <w:noProof/>
                <w:webHidden/>
              </w:rPr>
            </w:r>
            <w:r>
              <w:rPr>
                <w:noProof/>
                <w:webHidden/>
              </w:rPr>
              <w:fldChar w:fldCharType="separate"/>
            </w:r>
            <w:r w:rsidR="00140BE8">
              <w:rPr>
                <w:noProof/>
                <w:webHidden/>
              </w:rPr>
              <w:t>28</w:t>
            </w:r>
            <w:r>
              <w:rPr>
                <w:noProof/>
                <w:webHidden/>
              </w:rPr>
              <w:fldChar w:fldCharType="end"/>
            </w:r>
          </w:hyperlink>
        </w:p>
        <w:p w14:paraId="2367655E" w14:textId="4786B1D2" w:rsidR="000F1267" w:rsidRDefault="000F1267">
          <w:pPr>
            <w:pStyle w:val="TOC3"/>
            <w:rPr>
              <w:rFonts w:asciiTheme="minorHAnsi" w:eastAsiaTheme="minorEastAsia" w:hAnsiTheme="minorHAnsi" w:cstheme="minorBidi"/>
              <w:noProof/>
              <w:kern w:val="2"/>
              <w:sz w:val="24"/>
              <w:szCs w:val="24"/>
              <w:lang w:eastAsia="en-NZ"/>
              <w14:ligatures w14:val="standardContextual"/>
            </w:rPr>
          </w:pPr>
          <w:hyperlink w:anchor="_Toc190856866" w:history="1">
            <w:r w:rsidRPr="00AE4495">
              <w:rPr>
                <w:rStyle w:val="Hyperlink"/>
                <w:noProof/>
              </w:rPr>
              <w:t>7.5.3 Sample weighting</w:t>
            </w:r>
            <w:r>
              <w:rPr>
                <w:noProof/>
                <w:webHidden/>
              </w:rPr>
              <w:tab/>
            </w:r>
            <w:r>
              <w:rPr>
                <w:noProof/>
                <w:webHidden/>
              </w:rPr>
              <w:fldChar w:fldCharType="begin"/>
            </w:r>
            <w:r>
              <w:rPr>
                <w:noProof/>
                <w:webHidden/>
              </w:rPr>
              <w:instrText xml:space="preserve"> PAGEREF _Toc190856866 \h </w:instrText>
            </w:r>
            <w:r>
              <w:rPr>
                <w:noProof/>
                <w:webHidden/>
              </w:rPr>
            </w:r>
            <w:r>
              <w:rPr>
                <w:noProof/>
                <w:webHidden/>
              </w:rPr>
              <w:fldChar w:fldCharType="separate"/>
            </w:r>
            <w:r w:rsidR="00140BE8">
              <w:rPr>
                <w:noProof/>
                <w:webHidden/>
              </w:rPr>
              <w:t>30</w:t>
            </w:r>
            <w:r>
              <w:rPr>
                <w:noProof/>
                <w:webHidden/>
              </w:rPr>
              <w:fldChar w:fldCharType="end"/>
            </w:r>
          </w:hyperlink>
        </w:p>
        <w:p w14:paraId="50A89D2A" w14:textId="3569B64F"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67" w:history="1">
            <w:r w:rsidRPr="00AE4495">
              <w:rPr>
                <w:rStyle w:val="Hyperlink"/>
              </w:rPr>
              <w:t>7.6 Field work</w:t>
            </w:r>
            <w:r>
              <w:rPr>
                <w:webHidden/>
              </w:rPr>
              <w:tab/>
            </w:r>
            <w:r>
              <w:rPr>
                <w:webHidden/>
              </w:rPr>
              <w:fldChar w:fldCharType="begin"/>
            </w:r>
            <w:r>
              <w:rPr>
                <w:webHidden/>
              </w:rPr>
              <w:instrText xml:space="preserve"> PAGEREF _Toc190856867 \h </w:instrText>
            </w:r>
            <w:r>
              <w:rPr>
                <w:webHidden/>
              </w:rPr>
            </w:r>
            <w:r>
              <w:rPr>
                <w:webHidden/>
              </w:rPr>
              <w:fldChar w:fldCharType="separate"/>
            </w:r>
            <w:r w:rsidR="00140BE8">
              <w:rPr>
                <w:webHidden/>
              </w:rPr>
              <w:t>31</w:t>
            </w:r>
            <w:r>
              <w:rPr>
                <w:webHidden/>
              </w:rPr>
              <w:fldChar w:fldCharType="end"/>
            </w:r>
          </w:hyperlink>
        </w:p>
        <w:p w14:paraId="6FA2422D" w14:textId="628336B5"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68" w:history="1">
            <w:r w:rsidRPr="00AE4495">
              <w:rPr>
                <w:rStyle w:val="Hyperlink"/>
              </w:rPr>
              <w:t>8. Use of Census data</w:t>
            </w:r>
            <w:r>
              <w:rPr>
                <w:webHidden/>
              </w:rPr>
              <w:tab/>
            </w:r>
            <w:r>
              <w:rPr>
                <w:webHidden/>
              </w:rPr>
              <w:fldChar w:fldCharType="begin"/>
            </w:r>
            <w:r>
              <w:rPr>
                <w:webHidden/>
              </w:rPr>
              <w:instrText xml:space="preserve"> PAGEREF _Toc190856868 \h </w:instrText>
            </w:r>
            <w:r>
              <w:rPr>
                <w:webHidden/>
              </w:rPr>
            </w:r>
            <w:r>
              <w:rPr>
                <w:webHidden/>
              </w:rPr>
              <w:fldChar w:fldCharType="separate"/>
            </w:r>
            <w:r w:rsidR="00140BE8">
              <w:rPr>
                <w:webHidden/>
              </w:rPr>
              <w:t>33</w:t>
            </w:r>
            <w:r>
              <w:rPr>
                <w:webHidden/>
              </w:rPr>
              <w:fldChar w:fldCharType="end"/>
            </w:r>
          </w:hyperlink>
        </w:p>
        <w:p w14:paraId="3ED1A418" w14:textId="6DC3E2E0"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69" w:history="1">
            <w:r w:rsidRPr="00AE4495">
              <w:rPr>
                <w:rStyle w:val="Hyperlink"/>
              </w:rPr>
              <w:t>9. Presentation of estimates</w:t>
            </w:r>
            <w:r>
              <w:rPr>
                <w:webHidden/>
              </w:rPr>
              <w:tab/>
            </w:r>
            <w:r>
              <w:rPr>
                <w:webHidden/>
              </w:rPr>
              <w:fldChar w:fldCharType="begin"/>
            </w:r>
            <w:r>
              <w:rPr>
                <w:webHidden/>
              </w:rPr>
              <w:instrText xml:space="preserve"> PAGEREF _Toc190856869 \h </w:instrText>
            </w:r>
            <w:r>
              <w:rPr>
                <w:webHidden/>
              </w:rPr>
            </w:r>
            <w:r>
              <w:rPr>
                <w:webHidden/>
              </w:rPr>
              <w:fldChar w:fldCharType="separate"/>
            </w:r>
            <w:r w:rsidR="00140BE8">
              <w:rPr>
                <w:webHidden/>
              </w:rPr>
              <w:t>34</w:t>
            </w:r>
            <w:r>
              <w:rPr>
                <w:webHidden/>
              </w:rPr>
              <w:fldChar w:fldCharType="end"/>
            </w:r>
          </w:hyperlink>
        </w:p>
        <w:p w14:paraId="0B910E5B" w14:textId="4B0FAE6B" w:rsidR="000F1267" w:rsidRDefault="000F1267">
          <w:pPr>
            <w:pStyle w:val="TOC1"/>
            <w:rPr>
              <w:rFonts w:asciiTheme="minorHAnsi" w:eastAsiaTheme="minorEastAsia" w:hAnsiTheme="minorHAnsi" w:cstheme="minorBidi"/>
              <w:b w:val="0"/>
              <w:bCs w:val="0"/>
              <w:kern w:val="2"/>
              <w:sz w:val="24"/>
              <w:szCs w:val="24"/>
              <w:lang w:eastAsia="en-NZ"/>
              <w14:ligatures w14:val="standardContextual"/>
            </w:rPr>
          </w:pPr>
          <w:hyperlink w:anchor="_Toc190856870" w:history="1">
            <w:r w:rsidRPr="00AE4495">
              <w:rPr>
                <w:rStyle w:val="Hyperlink"/>
              </w:rPr>
              <w:t>10. Comparibility</w:t>
            </w:r>
            <w:r>
              <w:rPr>
                <w:webHidden/>
              </w:rPr>
              <w:tab/>
            </w:r>
            <w:r>
              <w:rPr>
                <w:webHidden/>
              </w:rPr>
              <w:fldChar w:fldCharType="begin"/>
            </w:r>
            <w:r>
              <w:rPr>
                <w:webHidden/>
              </w:rPr>
              <w:instrText xml:space="preserve"> PAGEREF _Toc190856870 \h </w:instrText>
            </w:r>
            <w:r>
              <w:rPr>
                <w:webHidden/>
              </w:rPr>
            </w:r>
            <w:r>
              <w:rPr>
                <w:webHidden/>
              </w:rPr>
              <w:fldChar w:fldCharType="separate"/>
            </w:r>
            <w:r w:rsidR="00140BE8">
              <w:rPr>
                <w:webHidden/>
              </w:rPr>
              <w:t>35</w:t>
            </w:r>
            <w:r>
              <w:rPr>
                <w:webHidden/>
              </w:rPr>
              <w:fldChar w:fldCharType="end"/>
            </w:r>
          </w:hyperlink>
        </w:p>
        <w:p w14:paraId="56E0602C" w14:textId="120EFA44"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71" w:history="1">
            <w:r w:rsidRPr="00AE4495">
              <w:rPr>
                <w:rStyle w:val="Hyperlink"/>
              </w:rPr>
              <w:t>10.1 Comparability with other surveys</w:t>
            </w:r>
            <w:r>
              <w:rPr>
                <w:webHidden/>
              </w:rPr>
              <w:tab/>
            </w:r>
            <w:r>
              <w:rPr>
                <w:webHidden/>
              </w:rPr>
              <w:fldChar w:fldCharType="begin"/>
            </w:r>
            <w:r>
              <w:rPr>
                <w:webHidden/>
              </w:rPr>
              <w:instrText xml:space="preserve"> PAGEREF _Toc190856871 \h </w:instrText>
            </w:r>
            <w:r>
              <w:rPr>
                <w:webHidden/>
              </w:rPr>
            </w:r>
            <w:r>
              <w:rPr>
                <w:webHidden/>
              </w:rPr>
              <w:fldChar w:fldCharType="separate"/>
            </w:r>
            <w:r w:rsidR="00140BE8">
              <w:rPr>
                <w:webHidden/>
              </w:rPr>
              <w:t>35</w:t>
            </w:r>
            <w:r>
              <w:rPr>
                <w:webHidden/>
              </w:rPr>
              <w:fldChar w:fldCharType="end"/>
            </w:r>
          </w:hyperlink>
        </w:p>
        <w:p w14:paraId="78D64AC7" w14:textId="1E8786BC" w:rsidR="000F1267" w:rsidRDefault="000F1267">
          <w:pPr>
            <w:pStyle w:val="TOC2"/>
            <w:rPr>
              <w:rFonts w:asciiTheme="minorHAnsi" w:eastAsiaTheme="minorEastAsia" w:hAnsiTheme="minorHAnsi" w:cstheme="minorBidi"/>
              <w:bCs w:val="0"/>
              <w:kern w:val="2"/>
              <w:sz w:val="24"/>
              <w:szCs w:val="24"/>
              <w:lang w:eastAsia="en-NZ"/>
              <w14:ligatures w14:val="standardContextual"/>
            </w:rPr>
          </w:pPr>
          <w:hyperlink w:anchor="_Toc190856872" w:history="1">
            <w:r w:rsidRPr="00AE4495">
              <w:rPr>
                <w:rStyle w:val="Hyperlink"/>
              </w:rPr>
              <w:t>10.2 Comparability with previous disability surveys</w:t>
            </w:r>
            <w:r>
              <w:rPr>
                <w:webHidden/>
              </w:rPr>
              <w:tab/>
            </w:r>
            <w:r>
              <w:rPr>
                <w:webHidden/>
              </w:rPr>
              <w:fldChar w:fldCharType="begin"/>
            </w:r>
            <w:r>
              <w:rPr>
                <w:webHidden/>
              </w:rPr>
              <w:instrText xml:space="preserve"> PAGEREF _Toc190856872 \h </w:instrText>
            </w:r>
            <w:r>
              <w:rPr>
                <w:webHidden/>
              </w:rPr>
            </w:r>
            <w:r>
              <w:rPr>
                <w:webHidden/>
              </w:rPr>
              <w:fldChar w:fldCharType="separate"/>
            </w:r>
            <w:r w:rsidR="00140BE8">
              <w:rPr>
                <w:webHidden/>
              </w:rPr>
              <w:t>35</w:t>
            </w:r>
            <w:r>
              <w:rPr>
                <w:webHidden/>
              </w:rPr>
              <w:fldChar w:fldCharType="end"/>
            </w:r>
          </w:hyperlink>
        </w:p>
        <w:p w14:paraId="4A5A52F6" w14:textId="1F7F9A76" w:rsidR="00793562" w:rsidRPr="00CA1E70" w:rsidRDefault="00516D0F" w:rsidP="00F55417">
          <w:pPr>
            <w:spacing w:after="60"/>
            <w:sectPr w:rsidR="00793562" w:rsidRPr="00CA1E70" w:rsidSect="004F4C7E">
              <w:headerReference w:type="default" r:id="rId27"/>
              <w:footerReference w:type="default" r:id="rId28"/>
              <w:headerReference w:type="first" r:id="rId29"/>
              <w:footerReference w:type="first" r:id="rId30"/>
              <w:pgSz w:w="11906" w:h="16838" w:code="9"/>
              <w:pgMar w:top="1440" w:right="1440" w:bottom="1440" w:left="1440" w:header="426" w:footer="510" w:gutter="0"/>
              <w:cols w:space="708"/>
              <w:docGrid w:linePitch="360"/>
            </w:sectPr>
          </w:pPr>
          <w:r>
            <w:rPr>
              <w:b/>
              <w:bCs/>
              <w:lang w:val="en-GB"/>
            </w:rPr>
            <w:fldChar w:fldCharType="end"/>
          </w:r>
        </w:p>
      </w:sdtContent>
    </w:sdt>
    <w:p w14:paraId="36DB8F54" w14:textId="77777777" w:rsidR="00B57BDF" w:rsidRPr="004163D7" w:rsidRDefault="4A07F070" w:rsidP="004163D7">
      <w:pPr>
        <w:pStyle w:val="Tableandfigureheader"/>
      </w:pPr>
      <w:bookmarkStart w:id="27" w:name="_Toc267057407"/>
      <w:bookmarkStart w:id="28" w:name="_Toc267388093"/>
      <w:bookmarkStart w:id="29" w:name="_Toc267388130"/>
      <w:bookmarkStart w:id="30" w:name="_Toc187762869"/>
      <w:bookmarkStart w:id="31" w:name="_Toc187763591"/>
      <w:bookmarkStart w:id="32" w:name="_Toc187763830"/>
      <w:bookmarkStart w:id="33" w:name="_Toc187763880"/>
      <w:bookmarkStart w:id="34" w:name="_Toc187818176"/>
      <w:bookmarkStart w:id="35" w:name="_Toc187922798"/>
      <w:bookmarkStart w:id="36" w:name="_Toc188866509"/>
      <w:bookmarkStart w:id="37" w:name="_Toc190175271"/>
      <w:bookmarkStart w:id="38" w:name="_Toc190793422"/>
      <w:bookmarkStart w:id="39" w:name="_Toc190856832"/>
      <w:r w:rsidRPr="004163D7">
        <w:t>List of tables</w:t>
      </w:r>
      <w:bookmarkEnd w:id="27"/>
      <w:bookmarkEnd w:id="28"/>
      <w:bookmarkEnd w:id="29"/>
      <w:bookmarkEnd w:id="30"/>
      <w:bookmarkEnd w:id="31"/>
      <w:bookmarkEnd w:id="32"/>
      <w:bookmarkEnd w:id="33"/>
      <w:bookmarkEnd w:id="34"/>
      <w:bookmarkEnd w:id="35"/>
      <w:bookmarkEnd w:id="36"/>
      <w:bookmarkEnd w:id="37"/>
      <w:bookmarkEnd w:id="38"/>
      <w:bookmarkEnd w:id="39"/>
    </w:p>
    <w:p w14:paraId="46435BED" w14:textId="2A1ADE3A" w:rsidR="003D43EA" w:rsidRDefault="001A67F7">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r w:rsidRPr="003672F2">
        <w:rPr>
          <w:rFonts w:asciiTheme="minorHAnsi" w:hAnsiTheme="minorHAnsi"/>
        </w:rPr>
        <w:fldChar w:fldCharType="begin"/>
      </w:r>
      <w:r w:rsidRPr="003672F2">
        <w:rPr>
          <w:rFonts w:asciiTheme="minorHAnsi" w:hAnsiTheme="minorHAnsi"/>
        </w:rPr>
        <w:instrText xml:space="preserve"> TOC \h \z \t "Table title - for hiding" \c </w:instrText>
      </w:r>
      <w:r w:rsidRPr="003672F2">
        <w:rPr>
          <w:rFonts w:asciiTheme="minorHAnsi" w:hAnsiTheme="minorHAnsi"/>
        </w:rPr>
        <w:fldChar w:fldCharType="separate"/>
      </w:r>
      <w:hyperlink w:anchor="_Toc190426270" w:history="1">
        <w:r w:rsidR="003D43EA" w:rsidRPr="005928B8">
          <w:rPr>
            <w:rStyle w:val="Hyperlink"/>
            <w:noProof/>
          </w:rPr>
          <w:t>1 Disability prevalence by age group</w:t>
        </w:r>
        <w:r w:rsidR="003D43EA">
          <w:rPr>
            <w:noProof/>
            <w:webHidden/>
          </w:rPr>
          <w:tab/>
        </w:r>
        <w:r w:rsidR="003D43EA">
          <w:rPr>
            <w:noProof/>
            <w:webHidden/>
          </w:rPr>
          <w:fldChar w:fldCharType="begin"/>
        </w:r>
        <w:r w:rsidR="003D43EA">
          <w:rPr>
            <w:noProof/>
            <w:webHidden/>
          </w:rPr>
          <w:instrText xml:space="preserve"> PAGEREF _Toc190426270 \h </w:instrText>
        </w:r>
        <w:r w:rsidR="003D43EA">
          <w:rPr>
            <w:noProof/>
            <w:webHidden/>
          </w:rPr>
        </w:r>
        <w:r w:rsidR="003D43EA">
          <w:rPr>
            <w:noProof/>
            <w:webHidden/>
          </w:rPr>
          <w:fldChar w:fldCharType="separate"/>
        </w:r>
        <w:r w:rsidR="00140BE8">
          <w:rPr>
            <w:noProof/>
            <w:webHidden/>
          </w:rPr>
          <w:t>9</w:t>
        </w:r>
        <w:r w:rsidR="003D43EA">
          <w:rPr>
            <w:noProof/>
            <w:webHidden/>
          </w:rPr>
          <w:fldChar w:fldCharType="end"/>
        </w:r>
      </w:hyperlink>
    </w:p>
    <w:p w14:paraId="212A7BA0" w14:textId="2B43AEE8"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1" w:history="1">
        <w:r w:rsidRPr="005928B8">
          <w:rPr>
            <w:rStyle w:val="Hyperlink"/>
            <w:noProof/>
          </w:rPr>
          <w:t>2 Disability prevalence by 10-year age groups</w:t>
        </w:r>
        <w:r>
          <w:rPr>
            <w:noProof/>
            <w:webHidden/>
          </w:rPr>
          <w:tab/>
        </w:r>
        <w:r>
          <w:rPr>
            <w:noProof/>
            <w:webHidden/>
          </w:rPr>
          <w:fldChar w:fldCharType="begin"/>
        </w:r>
        <w:r>
          <w:rPr>
            <w:noProof/>
            <w:webHidden/>
          </w:rPr>
          <w:instrText xml:space="preserve"> PAGEREF _Toc190426271 \h </w:instrText>
        </w:r>
        <w:r>
          <w:rPr>
            <w:noProof/>
            <w:webHidden/>
          </w:rPr>
        </w:r>
        <w:r>
          <w:rPr>
            <w:noProof/>
            <w:webHidden/>
          </w:rPr>
          <w:fldChar w:fldCharType="separate"/>
        </w:r>
        <w:r w:rsidR="00140BE8">
          <w:rPr>
            <w:noProof/>
            <w:webHidden/>
          </w:rPr>
          <w:t>9</w:t>
        </w:r>
        <w:r>
          <w:rPr>
            <w:noProof/>
            <w:webHidden/>
          </w:rPr>
          <w:fldChar w:fldCharType="end"/>
        </w:r>
      </w:hyperlink>
    </w:p>
    <w:p w14:paraId="75D56B82" w14:textId="4974F418"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2" w:history="1">
        <w:r w:rsidRPr="005928B8">
          <w:rPr>
            <w:rStyle w:val="Hyperlink"/>
            <w:noProof/>
          </w:rPr>
          <w:t>3 Disability prevalence by age group and gender</w:t>
        </w:r>
        <w:r>
          <w:rPr>
            <w:noProof/>
            <w:webHidden/>
          </w:rPr>
          <w:tab/>
        </w:r>
        <w:r>
          <w:rPr>
            <w:noProof/>
            <w:webHidden/>
          </w:rPr>
          <w:fldChar w:fldCharType="begin"/>
        </w:r>
        <w:r>
          <w:rPr>
            <w:noProof/>
            <w:webHidden/>
          </w:rPr>
          <w:instrText xml:space="preserve"> PAGEREF _Toc190426272 \h </w:instrText>
        </w:r>
        <w:r>
          <w:rPr>
            <w:noProof/>
            <w:webHidden/>
          </w:rPr>
        </w:r>
        <w:r>
          <w:rPr>
            <w:noProof/>
            <w:webHidden/>
          </w:rPr>
          <w:fldChar w:fldCharType="separate"/>
        </w:r>
        <w:r w:rsidR="00140BE8">
          <w:rPr>
            <w:noProof/>
            <w:webHidden/>
          </w:rPr>
          <w:t>10</w:t>
        </w:r>
        <w:r>
          <w:rPr>
            <w:noProof/>
            <w:webHidden/>
          </w:rPr>
          <w:fldChar w:fldCharType="end"/>
        </w:r>
      </w:hyperlink>
    </w:p>
    <w:p w14:paraId="178A57E2" w14:textId="74B11E94"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3" w:history="1">
        <w:r w:rsidRPr="005928B8">
          <w:rPr>
            <w:rStyle w:val="Hyperlink"/>
            <w:noProof/>
          </w:rPr>
          <w:t>4 Disability prevalence by ethnic group for children and adults</w:t>
        </w:r>
        <w:r>
          <w:rPr>
            <w:noProof/>
            <w:webHidden/>
          </w:rPr>
          <w:tab/>
        </w:r>
        <w:r>
          <w:rPr>
            <w:noProof/>
            <w:webHidden/>
          </w:rPr>
          <w:fldChar w:fldCharType="begin"/>
        </w:r>
        <w:r>
          <w:rPr>
            <w:noProof/>
            <w:webHidden/>
          </w:rPr>
          <w:instrText xml:space="preserve"> PAGEREF _Toc190426273 \h </w:instrText>
        </w:r>
        <w:r>
          <w:rPr>
            <w:noProof/>
            <w:webHidden/>
          </w:rPr>
        </w:r>
        <w:r>
          <w:rPr>
            <w:noProof/>
            <w:webHidden/>
          </w:rPr>
          <w:fldChar w:fldCharType="separate"/>
        </w:r>
        <w:r w:rsidR="00140BE8">
          <w:rPr>
            <w:noProof/>
            <w:webHidden/>
          </w:rPr>
          <w:t>11</w:t>
        </w:r>
        <w:r>
          <w:rPr>
            <w:noProof/>
            <w:webHidden/>
          </w:rPr>
          <w:fldChar w:fldCharType="end"/>
        </w:r>
      </w:hyperlink>
    </w:p>
    <w:p w14:paraId="315A441B" w14:textId="750E9521"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4" w:history="1">
        <w:r w:rsidRPr="005928B8">
          <w:rPr>
            <w:rStyle w:val="Hyperlink"/>
            <w:noProof/>
          </w:rPr>
          <w:t>5 Disability prevalence by ethic group, original and age-adjusted rates</w:t>
        </w:r>
        <w:r>
          <w:rPr>
            <w:noProof/>
            <w:webHidden/>
          </w:rPr>
          <w:tab/>
        </w:r>
        <w:r>
          <w:rPr>
            <w:noProof/>
            <w:webHidden/>
          </w:rPr>
          <w:fldChar w:fldCharType="begin"/>
        </w:r>
        <w:r>
          <w:rPr>
            <w:noProof/>
            <w:webHidden/>
          </w:rPr>
          <w:instrText xml:space="preserve"> PAGEREF _Toc190426274 \h </w:instrText>
        </w:r>
        <w:r>
          <w:rPr>
            <w:noProof/>
            <w:webHidden/>
          </w:rPr>
        </w:r>
        <w:r>
          <w:rPr>
            <w:noProof/>
            <w:webHidden/>
          </w:rPr>
          <w:fldChar w:fldCharType="separate"/>
        </w:r>
        <w:r w:rsidR="00140BE8">
          <w:rPr>
            <w:noProof/>
            <w:webHidden/>
          </w:rPr>
          <w:t>11</w:t>
        </w:r>
        <w:r>
          <w:rPr>
            <w:noProof/>
            <w:webHidden/>
          </w:rPr>
          <w:fldChar w:fldCharType="end"/>
        </w:r>
      </w:hyperlink>
    </w:p>
    <w:p w14:paraId="6EF392D4" w14:textId="70B9FED3"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5" w:history="1">
        <w:r w:rsidRPr="005928B8">
          <w:rPr>
            <w:rStyle w:val="Hyperlink"/>
            <w:noProof/>
          </w:rPr>
          <w:t>6 Disability prevalence by ethnic group and LGBTIQ+ status</w:t>
        </w:r>
        <w:r>
          <w:rPr>
            <w:noProof/>
            <w:webHidden/>
          </w:rPr>
          <w:tab/>
        </w:r>
        <w:r>
          <w:rPr>
            <w:noProof/>
            <w:webHidden/>
          </w:rPr>
          <w:fldChar w:fldCharType="begin"/>
        </w:r>
        <w:r>
          <w:rPr>
            <w:noProof/>
            <w:webHidden/>
          </w:rPr>
          <w:instrText xml:space="preserve"> PAGEREF _Toc190426275 \h </w:instrText>
        </w:r>
        <w:r>
          <w:rPr>
            <w:noProof/>
            <w:webHidden/>
          </w:rPr>
        </w:r>
        <w:r>
          <w:rPr>
            <w:noProof/>
            <w:webHidden/>
          </w:rPr>
          <w:fldChar w:fldCharType="separate"/>
        </w:r>
        <w:r w:rsidR="00140BE8">
          <w:rPr>
            <w:noProof/>
            <w:webHidden/>
          </w:rPr>
          <w:t>12</w:t>
        </w:r>
        <w:r>
          <w:rPr>
            <w:noProof/>
            <w:webHidden/>
          </w:rPr>
          <w:fldChar w:fldCharType="end"/>
        </w:r>
      </w:hyperlink>
    </w:p>
    <w:p w14:paraId="1154B2C0" w14:textId="6DE41D33"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6" w:history="1">
        <w:r w:rsidRPr="005928B8">
          <w:rPr>
            <w:rStyle w:val="Hyperlink"/>
            <w:noProof/>
          </w:rPr>
          <w:t>7 Functional domain disability rates for adults</w:t>
        </w:r>
        <w:r>
          <w:rPr>
            <w:noProof/>
            <w:webHidden/>
          </w:rPr>
          <w:tab/>
        </w:r>
        <w:r>
          <w:rPr>
            <w:noProof/>
            <w:webHidden/>
          </w:rPr>
          <w:fldChar w:fldCharType="begin"/>
        </w:r>
        <w:r>
          <w:rPr>
            <w:noProof/>
            <w:webHidden/>
          </w:rPr>
          <w:instrText xml:space="preserve"> PAGEREF _Toc190426276 \h </w:instrText>
        </w:r>
        <w:r>
          <w:rPr>
            <w:noProof/>
            <w:webHidden/>
          </w:rPr>
        </w:r>
        <w:r>
          <w:rPr>
            <w:noProof/>
            <w:webHidden/>
          </w:rPr>
          <w:fldChar w:fldCharType="separate"/>
        </w:r>
        <w:r w:rsidR="00140BE8">
          <w:rPr>
            <w:noProof/>
            <w:webHidden/>
          </w:rPr>
          <w:t>14</w:t>
        </w:r>
        <w:r>
          <w:rPr>
            <w:noProof/>
            <w:webHidden/>
          </w:rPr>
          <w:fldChar w:fldCharType="end"/>
        </w:r>
      </w:hyperlink>
    </w:p>
    <w:p w14:paraId="795A1A3B" w14:textId="51D586AF"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7" w:history="1">
        <w:r w:rsidRPr="005928B8">
          <w:rPr>
            <w:rStyle w:val="Hyperlink"/>
            <w:noProof/>
          </w:rPr>
          <w:t>8 Grouped functional domain disability rates for adults</w:t>
        </w:r>
        <w:r>
          <w:rPr>
            <w:noProof/>
            <w:webHidden/>
          </w:rPr>
          <w:tab/>
        </w:r>
        <w:r>
          <w:rPr>
            <w:noProof/>
            <w:webHidden/>
          </w:rPr>
          <w:fldChar w:fldCharType="begin"/>
        </w:r>
        <w:r>
          <w:rPr>
            <w:noProof/>
            <w:webHidden/>
          </w:rPr>
          <w:instrText xml:space="preserve"> PAGEREF _Toc190426277 \h </w:instrText>
        </w:r>
        <w:r>
          <w:rPr>
            <w:noProof/>
            <w:webHidden/>
          </w:rPr>
        </w:r>
        <w:r>
          <w:rPr>
            <w:noProof/>
            <w:webHidden/>
          </w:rPr>
          <w:fldChar w:fldCharType="separate"/>
        </w:r>
        <w:r w:rsidR="00140BE8">
          <w:rPr>
            <w:noProof/>
            <w:webHidden/>
          </w:rPr>
          <w:t>15</w:t>
        </w:r>
        <w:r>
          <w:rPr>
            <w:noProof/>
            <w:webHidden/>
          </w:rPr>
          <w:fldChar w:fldCharType="end"/>
        </w:r>
      </w:hyperlink>
    </w:p>
    <w:p w14:paraId="10AD4944" w14:textId="248C677B"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8" w:history="1">
        <w:r w:rsidRPr="005928B8">
          <w:rPr>
            <w:rStyle w:val="Hyperlink"/>
            <w:noProof/>
          </w:rPr>
          <w:t>9 Grouped functional domain disability rates for adults, by gender</w:t>
        </w:r>
        <w:r>
          <w:rPr>
            <w:noProof/>
            <w:webHidden/>
          </w:rPr>
          <w:tab/>
        </w:r>
        <w:r>
          <w:rPr>
            <w:noProof/>
            <w:webHidden/>
          </w:rPr>
          <w:fldChar w:fldCharType="begin"/>
        </w:r>
        <w:r>
          <w:rPr>
            <w:noProof/>
            <w:webHidden/>
          </w:rPr>
          <w:instrText xml:space="preserve"> PAGEREF _Toc190426278 \h </w:instrText>
        </w:r>
        <w:r>
          <w:rPr>
            <w:noProof/>
            <w:webHidden/>
          </w:rPr>
        </w:r>
        <w:r>
          <w:rPr>
            <w:noProof/>
            <w:webHidden/>
          </w:rPr>
          <w:fldChar w:fldCharType="separate"/>
        </w:r>
        <w:r w:rsidR="00140BE8">
          <w:rPr>
            <w:noProof/>
            <w:webHidden/>
          </w:rPr>
          <w:t>15</w:t>
        </w:r>
        <w:r>
          <w:rPr>
            <w:noProof/>
            <w:webHidden/>
          </w:rPr>
          <w:fldChar w:fldCharType="end"/>
        </w:r>
      </w:hyperlink>
    </w:p>
    <w:p w14:paraId="62E064AE" w14:textId="4D1151E1"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79" w:history="1">
        <w:r w:rsidRPr="005928B8">
          <w:rPr>
            <w:rStyle w:val="Hyperlink"/>
            <w:noProof/>
          </w:rPr>
          <w:t>10 Grouped functional domain disability rates for adults, by age group</w:t>
        </w:r>
        <w:r>
          <w:rPr>
            <w:noProof/>
            <w:webHidden/>
          </w:rPr>
          <w:tab/>
        </w:r>
        <w:r>
          <w:rPr>
            <w:noProof/>
            <w:webHidden/>
          </w:rPr>
          <w:fldChar w:fldCharType="begin"/>
        </w:r>
        <w:r>
          <w:rPr>
            <w:noProof/>
            <w:webHidden/>
          </w:rPr>
          <w:instrText xml:space="preserve"> PAGEREF _Toc190426279 \h </w:instrText>
        </w:r>
        <w:r>
          <w:rPr>
            <w:noProof/>
            <w:webHidden/>
          </w:rPr>
        </w:r>
        <w:r>
          <w:rPr>
            <w:noProof/>
            <w:webHidden/>
          </w:rPr>
          <w:fldChar w:fldCharType="separate"/>
        </w:r>
        <w:r w:rsidR="00140BE8">
          <w:rPr>
            <w:noProof/>
            <w:webHidden/>
          </w:rPr>
          <w:t>16</w:t>
        </w:r>
        <w:r>
          <w:rPr>
            <w:noProof/>
            <w:webHidden/>
          </w:rPr>
          <w:fldChar w:fldCharType="end"/>
        </w:r>
      </w:hyperlink>
    </w:p>
    <w:p w14:paraId="55836324" w14:textId="1D86761F"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80" w:history="1">
        <w:r w:rsidRPr="005928B8">
          <w:rPr>
            <w:rStyle w:val="Hyperlink"/>
            <w:noProof/>
          </w:rPr>
          <w:t>11 Functional domain disability rates for children</w:t>
        </w:r>
        <w:r>
          <w:rPr>
            <w:noProof/>
            <w:webHidden/>
          </w:rPr>
          <w:tab/>
        </w:r>
        <w:r>
          <w:rPr>
            <w:noProof/>
            <w:webHidden/>
          </w:rPr>
          <w:fldChar w:fldCharType="begin"/>
        </w:r>
        <w:r>
          <w:rPr>
            <w:noProof/>
            <w:webHidden/>
          </w:rPr>
          <w:instrText xml:space="preserve"> PAGEREF _Toc190426280 \h </w:instrText>
        </w:r>
        <w:r>
          <w:rPr>
            <w:noProof/>
            <w:webHidden/>
          </w:rPr>
        </w:r>
        <w:r>
          <w:rPr>
            <w:noProof/>
            <w:webHidden/>
          </w:rPr>
          <w:fldChar w:fldCharType="separate"/>
        </w:r>
        <w:r w:rsidR="00140BE8">
          <w:rPr>
            <w:noProof/>
            <w:webHidden/>
          </w:rPr>
          <w:t>17</w:t>
        </w:r>
        <w:r>
          <w:rPr>
            <w:noProof/>
            <w:webHidden/>
          </w:rPr>
          <w:fldChar w:fldCharType="end"/>
        </w:r>
      </w:hyperlink>
    </w:p>
    <w:p w14:paraId="2C7F468E" w14:textId="06136A56"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81" w:history="1">
        <w:r w:rsidRPr="005928B8">
          <w:rPr>
            <w:rStyle w:val="Hyperlink"/>
            <w:noProof/>
          </w:rPr>
          <w:t>12 Grouped functional domain disability rates for children</w:t>
        </w:r>
        <w:r>
          <w:rPr>
            <w:noProof/>
            <w:webHidden/>
          </w:rPr>
          <w:tab/>
        </w:r>
        <w:r>
          <w:rPr>
            <w:noProof/>
            <w:webHidden/>
          </w:rPr>
          <w:fldChar w:fldCharType="begin"/>
        </w:r>
        <w:r>
          <w:rPr>
            <w:noProof/>
            <w:webHidden/>
          </w:rPr>
          <w:instrText xml:space="preserve"> PAGEREF _Toc190426281 \h </w:instrText>
        </w:r>
        <w:r>
          <w:rPr>
            <w:noProof/>
            <w:webHidden/>
          </w:rPr>
        </w:r>
        <w:r>
          <w:rPr>
            <w:noProof/>
            <w:webHidden/>
          </w:rPr>
          <w:fldChar w:fldCharType="separate"/>
        </w:r>
        <w:r w:rsidR="00140BE8">
          <w:rPr>
            <w:noProof/>
            <w:webHidden/>
          </w:rPr>
          <w:t>18</w:t>
        </w:r>
        <w:r>
          <w:rPr>
            <w:noProof/>
            <w:webHidden/>
          </w:rPr>
          <w:fldChar w:fldCharType="end"/>
        </w:r>
      </w:hyperlink>
    </w:p>
    <w:p w14:paraId="29C26D56" w14:textId="72F29D16" w:rsidR="003D43EA" w:rsidRDefault="003D43EA">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0426282" w:history="1">
        <w:r w:rsidRPr="005928B8">
          <w:rPr>
            <w:rStyle w:val="Hyperlink"/>
            <w:noProof/>
          </w:rPr>
          <w:t>13 Grouped functional domain disability rates for children, by gender</w:t>
        </w:r>
        <w:r>
          <w:rPr>
            <w:noProof/>
            <w:webHidden/>
          </w:rPr>
          <w:tab/>
        </w:r>
        <w:r>
          <w:rPr>
            <w:noProof/>
            <w:webHidden/>
          </w:rPr>
          <w:fldChar w:fldCharType="begin"/>
        </w:r>
        <w:r>
          <w:rPr>
            <w:noProof/>
            <w:webHidden/>
          </w:rPr>
          <w:instrText xml:space="preserve"> PAGEREF _Toc190426282 \h </w:instrText>
        </w:r>
        <w:r>
          <w:rPr>
            <w:noProof/>
            <w:webHidden/>
          </w:rPr>
        </w:r>
        <w:r>
          <w:rPr>
            <w:noProof/>
            <w:webHidden/>
          </w:rPr>
          <w:fldChar w:fldCharType="separate"/>
        </w:r>
        <w:r w:rsidR="00140BE8">
          <w:rPr>
            <w:noProof/>
            <w:webHidden/>
          </w:rPr>
          <w:t>19</w:t>
        </w:r>
        <w:r>
          <w:rPr>
            <w:noProof/>
            <w:webHidden/>
          </w:rPr>
          <w:fldChar w:fldCharType="end"/>
        </w:r>
      </w:hyperlink>
    </w:p>
    <w:p w14:paraId="5618AE02" w14:textId="16CA387A" w:rsidR="001A67F7" w:rsidRDefault="001A67F7" w:rsidP="001A67F7">
      <w:r w:rsidRPr="003672F2">
        <w:rPr>
          <w:rFonts w:asciiTheme="minorHAnsi" w:hAnsiTheme="minorHAnsi"/>
        </w:rPr>
        <w:fldChar w:fldCharType="end"/>
      </w:r>
    </w:p>
    <w:p w14:paraId="6A05A6E2" w14:textId="77777777" w:rsidR="0076651E" w:rsidRDefault="0076651E" w:rsidP="0076651E">
      <w:pPr>
        <w:pStyle w:val="Listoftablesandfiguresheader"/>
      </w:pPr>
      <w:bookmarkStart w:id="40" w:name="_Toc190175272"/>
      <w:bookmarkStart w:id="41" w:name="_Toc190793423"/>
      <w:bookmarkStart w:id="42" w:name="_Toc190856833"/>
      <w:r>
        <w:t>List of figures</w:t>
      </w:r>
      <w:bookmarkEnd w:id="40"/>
      <w:bookmarkEnd w:id="41"/>
      <w:bookmarkEnd w:id="42"/>
    </w:p>
    <w:p w14:paraId="25017032" w14:textId="5C049877" w:rsidR="009E214A" w:rsidRDefault="0076651E">
      <w:pPr>
        <w:pStyle w:val="TableofFigures"/>
        <w:tabs>
          <w:tab w:val="right" w:leader="dot" w:pos="9016"/>
        </w:tabs>
        <w:rPr>
          <w:rFonts w:asciiTheme="minorHAnsi" w:eastAsiaTheme="minorEastAsia" w:hAnsiTheme="minorHAnsi" w:cstheme="minorBidi"/>
          <w:noProof/>
          <w:kern w:val="2"/>
          <w:sz w:val="24"/>
          <w:szCs w:val="24"/>
          <w:lang w:eastAsia="en-NZ"/>
          <w14:ligatures w14:val="standardContextual"/>
        </w:rPr>
      </w:pPr>
      <w:r w:rsidRPr="003672F2">
        <w:fldChar w:fldCharType="begin"/>
      </w:r>
      <w:r w:rsidRPr="003672F2">
        <w:instrText xml:space="preserve"> TOC \h \z \t "Figure title - for hiding" \c </w:instrText>
      </w:r>
      <w:r w:rsidRPr="003672F2">
        <w:fldChar w:fldCharType="separate"/>
      </w:r>
      <w:hyperlink w:anchor="_Toc189663839" w:history="1">
        <w:r w:rsidR="009E214A" w:rsidRPr="00F849CD">
          <w:rPr>
            <w:rStyle w:val="Hyperlink"/>
            <w:noProof/>
          </w:rPr>
          <w:t>1. Components of the International Classification of Functioning, Disability, and Health framework</w:t>
        </w:r>
        <w:r w:rsidR="009E214A">
          <w:rPr>
            <w:noProof/>
            <w:webHidden/>
          </w:rPr>
          <w:tab/>
        </w:r>
        <w:r w:rsidR="009E214A">
          <w:rPr>
            <w:noProof/>
            <w:webHidden/>
          </w:rPr>
          <w:fldChar w:fldCharType="begin"/>
        </w:r>
        <w:r w:rsidR="009E214A">
          <w:rPr>
            <w:noProof/>
            <w:webHidden/>
          </w:rPr>
          <w:instrText xml:space="preserve"> PAGEREF _Toc189663839 \h </w:instrText>
        </w:r>
        <w:r w:rsidR="009E214A">
          <w:rPr>
            <w:noProof/>
            <w:webHidden/>
          </w:rPr>
        </w:r>
        <w:r w:rsidR="009E214A">
          <w:rPr>
            <w:noProof/>
            <w:webHidden/>
          </w:rPr>
          <w:fldChar w:fldCharType="separate"/>
        </w:r>
        <w:r w:rsidR="00140BE8">
          <w:rPr>
            <w:noProof/>
            <w:webHidden/>
          </w:rPr>
          <w:t>20</w:t>
        </w:r>
        <w:r w:rsidR="009E214A">
          <w:rPr>
            <w:noProof/>
            <w:webHidden/>
          </w:rPr>
          <w:fldChar w:fldCharType="end"/>
        </w:r>
      </w:hyperlink>
    </w:p>
    <w:p w14:paraId="0BD85467" w14:textId="4339F486" w:rsidR="001A67F7" w:rsidRPr="001A67F7" w:rsidRDefault="0076651E" w:rsidP="0076651E">
      <w:pPr>
        <w:sectPr w:rsidR="001A67F7" w:rsidRPr="001A67F7" w:rsidSect="004F4C7E">
          <w:footerReference w:type="first" r:id="rId31"/>
          <w:pgSz w:w="11906" w:h="16838" w:code="9"/>
          <w:pgMar w:top="1440" w:right="1440" w:bottom="1440" w:left="1440" w:header="568" w:footer="510" w:gutter="0"/>
          <w:cols w:space="708"/>
          <w:docGrid w:linePitch="360"/>
        </w:sectPr>
      </w:pPr>
      <w:r w:rsidRPr="003672F2">
        <w:fldChar w:fldCharType="end"/>
      </w:r>
    </w:p>
    <w:p w14:paraId="37669122" w14:textId="496F0AD3" w:rsidR="00BC548D" w:rsidRDefault="00BC548D" w:rsidP="00503959">
      <w:pPr>
        <w:pStyle w:val="Heading1"/>
      </w:pPr>
      <w:bookmarkStart w:id="43" w:name="_Toc190856834"/>
      <w:bookmarkStart w:id="44" w:name="_Toc266967505"/>
      <w:bookmarkStart w:id="45" w:name="_Toc267057206"/>
      <w:bookmarkStart w:id="46" w:name="_Toc267059869"/>
      <w:bookmarkStart w:id="47" w:name="_Toc267382855"/>
      <w:bookmarkStart w:id="48" w:name="_Toc267388095"/>
      <w:bookmarkStart w:id="49" w:name="_Toc267388132"/>
      <w:bookmarkStart w:id="50" w:name="_Toc267564477"/>
      <w:bookmarkStart w:id="51" w:name="_Toc271632828"/>
      <w:bookmarkStart w:id="52" w:name="_Toc271633173"/>
      <w:bookmarkStart w:id="53" w:name="_Toc271633746"/>
      <w:bookmarkStart w:id="54" w:name="_Toc271634732"/>
      <w:bookmarkStart w:id="55" w:name="_Toc272416180"/>
      <w:bookmarkStart w:id="56" w:name="_Toc302550733"/>
      <w:bookmarkStart w:id="57" w:name="_Toc302556611"/>
      <w:bookmarkStart w:id="58" w:name="_Toc302570761"/>
      <w:bookmarkStart w:id="59" w:name="_Toc302571135"/>
      <w:bookmarkStart w:id="60" w:name="_Toc303598251"/>
      <w:bookmarkStart w:id="61" w:name="_Toc303598259"/>
      <w:bookmarkStart w:id="62" w:name="_Toc476663086"/>
      <w:bookmarkStart w:id="63" w:name="_Toc187762870"/>
      <w:bookmarkStart w:id="64" w:name="_Toc187763564"/>
      <w:bookmarkStart w:id="65" w:name="_Toc187763831"/>
      <w:r w:rsidRPr="00A02915">
        <w:t>1. Purpose</w:t>
      </w:r>
      <w:bookmarkEnd w:id="43"/>
    </w:p>
    <w:p w14:paraId="7D601A79" w14:textId="7B753F1E" w:rsidR="005D6C6E" w:rsidRDefault="7B916C4C" w:rsidP="3524BD2A">
      <w:pPr>
        <w:rPr>
          <w:rFonts w:asciiTheme="minorHAnsi" w:hAnsiTheme="minorHAnsi" w:cstheme="minorBidi"/>
        </w:rPr>
      </w:pPr>
      <w:r w:rsidRPr="3524BD2A">
        <w:rPr>
          <w:i/>
          <w:iCs/>
          <w:lang w:eastAsia="en-NZ"/>
        </w:rPr>
        <w:t>Household Disability Survey</w:t>
      </w:r>
      <w:r w:rsidR="007B1E07" w:rsidRPr="3524BD2A">
        <w:rPr>
          <w:i/>
          <w:iCs/>
          <w:lang w:eastAsia="en-NZ"/>
        </w:rPr>
        <w:t xml:space="preserve"> 2023</w:t>
      </w:r>
      <w:r w:rsidRPr="3524BD2A">
        <w:rPr>
          <w:i/>
          <w:iCs/>
          <w:lang w:eastAsia="en-NZ"/>
        </w:rPr>
        <w:t xml:space="preserve"> – findings, definitions, and design summar</w:t>
      </w:r>
      <w:r w:rsidRPr="3524BD2A">
        <w:rPr>
          <w:lang w:eastAsia="en-NZ"/>
        </w:rPr>
        <w:t xml:space="preserve">y </w:t>
      </w:r>
      <w:proofErr w:type="gramStart"/>
      <w:r w:rsidRPr="3524BD2A">
        <w:rPr>
          <w:lang w:eastAsia="en-NZ"/>
        </w:rPr>
        <w:t>provides</w:t>
      </w:r>
      <w:proofErr w:type="gramEnd"/>
      <w:r w:rsidRPr="3524BD2A">
        <w:rPr>
          <w:lang w:eastAsia="en-NZ"/>
        </w:rPr>
        <w:t xml:space="preserve"> findings from the 2023 Household Disability Survey (HDS) </w:t>
      </w:r>
      <w:r w:rsidR="261AF9ED" w:rsidRPr="3524BD2A">
        <w:rPr>
          <w:lang w:eastAsia="en-NZ"/>
        </w:rPr>
        <w:t xml:space="preserve">on </w:t>
      </w:r>
      <w:r w:rsidRPr="3524BD2A">
        <w:rPr>
          <w:lang w:eastAsia="en-NZ"/>
        </w:rPr>
        <w:t xml:space="preserve">the </w:t>
      </w:r>
      <w:r w:rsidRPr="3524BD2A">
        <w:rPr>
          <w:b/>
          <w:bCs/>
          <w:lang w:eastAsia="en-NZ"/>
        </w:rPr>
        <w:t>prevalence of disability</w:t>
      </w:r>
      <w:r w:rsidRPr="3524BD2A">
        <w:rPr>
          <w:lang w:eastAsia="en-NZ"/>
        </w:rPr>
        <w:t xml:space="preserve"> </w:t>
      </w:r>
      <w:r w:rsidR="62B1B3FA" w:rsidRPr="3524BD2A">
        <w:rPr>
          <w:lang w:eastAsia="en-NZ"/>
        </w:rPr>
        <w:t>(</w:t>
      </w:r>
      <w:r w:rsidR="4D75869E" w:rsidRPr="3524BD2A">
        <w:rPr>
          <w:lang w:eastAsia="en-NZ"/>
        </w:rPr>
        <w:t xml:space="preserve">how many people </w:t>
      </w:r>
      <w:r w:rsidR="2ACB37BA" w:rsidRPr="3524BD2A">
        <w:rPr>
          <w:lang w:eastAsia="en-NZ"/>
        </w:rPr>
        <w:t xml:space="preserve">are </w:t>
      </w:r>
      <w:r w:rsidR="4D75869E" w:rsidRPr="3524BD2A">
        <w:rPr>
          <w:lang w:eastAsia="en-NZ"/>
        </w:rPr>
        <w:t>disabled</w:t>
      </w:r>
      <w:r w:rsidR="62B1B3FA" w:rsidRPr="3524BD2A">
        <w:rPr>
          <w:rFonts w:asciiTheme="minorHAnsi" w:hAnsiTheme="minorHAnsi" w:cstheme="minorBidi"/>
        </w:rPr>
        <w:t xml:space="preserve">) </w:t>
      </w:r>
      <w:r w:rsidRPr="3524BD2A">
        <w:rPr>
          <w:lang w:eastAsia="en-NZ"/>
        </w:rPr>
        <w:t xml:space="preserve">among people living in New Zealand households. </w:t>
      </w:r>
    </w:p>
    <w:p w14:paraId="74DA9718" w14:textId="49E24FD1" w:rsidR="00BC548D" w:rsidRDefault="7B916C4C" w:rsidP="3524BD2A">
      <w:pPr>
        <w:rPr>
          <w:lang w:eastAsia="en-NZ"/>
        </w:rPr>
      </w:pPr>
      <w:r w:rsidRPr="3524BD2A">
        <w:rPr>
          <w:lang w:eastAsia="en-NZ"/>
        </w:rPr>
        <w:t xml:space="preserve">The HDS also collected data on social and economic outcomes for disabled people, the level and type of support they need, and barriers to participation in important aspects of life such as work, education, and recreation.  </w:t>
      </w:r>
    </w:p>
    <w:p w14:paraId="00E37A72" w14:textId="7FC5DF73" w:rsidR="00BC548D" w:rsidRPr="00402D75" w:rsidRDefault="7B916C4C" w:rsidP="3524BD2A">
      <w:pPr>
        <w:rPr>
          <w:lang w:eastAsia="en-NZ"/>
        </w:rPr>
      </w:pPr>
      <w:r w:rsidRPr="3524BD2A">
        <w:rPr>
          <w:lang w:eastAsia="en-NZ"/>
        </w:rPr>
        <w:t xml:space="preserve">This report focuses on </w:t>
      </w:r>
      <w:r w:rsidR="33F50941" w:rsidRPr="3524BD2A">
        <w:rPr>
          <w:lang w:eastAsia="en-NZ"/>
        </w:rPr>
        <w:t xml:space="preserve">disability </w:t>
      </w:r>
      <w:r w:rsidRPr="3524BD2A">
        <w:rPr>
          <w:lang w:eastAsia="en-NZ"/>
        </w:rPr>
        <w:t>prevalence</w:t>
      </w:r>
      <w:r w:rsidR="3465BD58" w:rsidRPr="3524BD2A">
        <w:rPr>
          <w:lang w:eastAsia="en-NZ"/>
        </w:rPr>
        <w:t>,</w:t>
      </w:r>
      <w:r w:rsidRPr="3524BD2A">
        <w:rPr>
          <w:lang w:eastAsia="en-NZ"/>
        </w:rPr>
        <w:t xml:space="preserve"> given that only the HDS can provide official statistics on </w:t>
      </w:r>
      <w:proofErr w:type="gramStart"/>
      <w:r w:rsidRPr="3524BD2A">
        <w:rPr>
          <w:lang w:eastAsia="en-NZ"/>
        </w:rPr>
        <w:t>prevalence</w:t>
      </w:r>
      <w:r w:rsidR="6196D137" w:rsidRPr="3524BD2A">
        <w:rPr>
          <w:lang w:eastAsia="en-NZ"/>
        </w:rPr>
        <w:t>,</w:t>
      </w:r>
      <w:r w:rsidRPr="3524BD2A">
        <w:rPr>
          <w:lang w:eastAsia="en-NZ"/>
        </w:rPr>
        <w:t xml:space="preserve"> and</w:t>
      </w:r>
      <w:proofErr w:type="gramEnd"/>
      <w:r w:rsidRPr="3524BD2A">
        <w:rPr>
          <w:lang w:eastAsia="en-NZ"/>
        </w:rPr>
        <w:t xml:space="preserve"> is the first update since the 2013 HDS. Disability prevalence data is crucial </w:t>
      </w:r>
      <w:r w:rsidR="588FE32D" w:rsidRPr="3524BD2A">
        <w:rPr>
          <w:lang w:eastAsia="en-NZ"/>
        </w:rPr>
        <w:t xml:space="preserve">for </w:t>
      </w:r>
      <w:r w:rsidRPr="3524BD2A">
        <w:rPr>
          <w:lang w:eastAsia="en-NZ"/>
        </w:rPr>
        <w:t xml:space="preserve">planning and </w:t>
      </w:r>
      <w:r w:rsidR="606D6967" w:rsidRPr="3524BD2A">
        <w:rPr>
          <w:lang w:eastAsia="en-NZ"/>
        </w:rPr>
        <w:t>providing</w:t>
      </w:r>
      <w:r w:rsidRPr="3524BD2A">
        <w:rPr>
          <w:lang w:eastAsia="en-NZ"/>
        </w:rPr>
        <w:t xml:space="preserve"> effective disability support services and </w:t>
      </w:r>
      <w:r w:rsidR="02C4033B" w:rsidRPr="3524BD2A">
        <w:rPr>
          <w:lang w:eastAsia="en-NZ"/>
        </w:rPr>
        <w:t>for</w:t>
      </w:r>
      <w:r w:rsidRPr="3524BD2A">
        <w:rPr>
          <w:lang w:eastAsia="en-NZ"/>
        </w:rPr>
        <w:t xml:space="preserve"> a broad range of other public services.</w:t>
      </w:r>
    </w:p>
    <w:p w14:paraId="58884670" w14:textId="17E23949" w:rsidR="00BC548D" w:rsidRDefault="00BC548D" w:rsidP="00A02915">
      <w:hyperlink r:id="rId32">
        <w:r w:rsidRPr="55E58A96">
          <w:rPr>
            <w:rStyle w:val="Hyperlink"/>
            <w:rFonts w:ascii="Calibri" w:hAnsi="Calibri"/>
          </w:rPr>
          <w:t>Disability statistics: 2023</w:t>
        </w:r>
      </w:hyperlink>
      <w:r>
        <w:t xml:space="preserve"> and </w:t>
      </w:r>
      <w:hyperlink r:id="rId33" w:history="1">
        <w:r w:rsidRPr="55E58A96">
          <w:rPr>
            <w:rStyle w:val="Hyperlink"/>
            <w:rFonts w:ascii="Calibri" w:hAnsi="Calibri"/>
          </w:rPr>
          <w:t>Disabled people need more care and support</w:t>
        </w:r>
      </w:hyperlink>
      <w:r>
        <w:t xml:space="preserve"> </w:t>
      </w:r>
      <w:r w:rsidR="007450A4" w:rsidRPr="00FF2DFE">
        <w:t>report</w:t>
      </w:r>
      <w:r w:rsidR="007450A4">
        <w:t xml:space="preserve"> findings from other parts of the 2023 HDS</w:t>
      </w:r>
      <w:r w:rsidDel="007450A4">
        <w:t>.</w:t>
      </w:r>
    </w:p>
    <w:p w14:paraId="0E096EF7" w14:textId="77777777" w:rsidR="00A02915" w:rsidRDefault="00A02915" w:rsidP="00A02915"/>
    <w:p w14:paraId="269FAA13" w14:textId="77777777" w:rsidR="005D3F9A" w:rsidRDefault="005D3F9A">
      <w:pPr>
        <w:spacing w:after="160" w:line="259" w:lineRule="auto"/>
        <w:rPr>
          <w:rFonts w:eastAsiaTheme="majorEastAsia" w:cstheme="majorBidi"/>
          <w:bCs/>
          <w:noProof/>
          <w:color w:val="4E5B61"/>
          <w:sz w:val="40"/>
          <w:szCs w:val="28"/>
          <w:lang w:eastAsia="en-NZ"/>
        </w:rPr>
      </w:pPr>
      <w:r>
        <w:br w:type="page"/>
      </w:r>
    </w:p>
    <w:p w14:paraId="052AA673" w14:textId="2CCF453B" w:rsidR="00940BE2" w:rsidRDefault="00BC548D" w:rsidP="009A72D8">
      <w:pPr>
        <w:pStyle w:val="Heading1"/>
      </w:pPr>
      <w:bookmarkStart w:id="66" w:name="_Toc190856835"/>
      <w:r>
        <w:t>2</w:t>
      </w:r>
      <w:r w:rsidR="00A244C1">
        <w:t>. Key findings</w:t>
      </w:r>
      <w:bookmarkStart w:id="67" w:name="_Toc26705720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D82C219" w14:textId="5CF510D2" w:rsidR="00E0356A" w:rsidRDefault="00233C7D" w:rsidP="0099259F">
      <w:pPr>
        <w:pStyle w:val="Bullet1"/>
      </w:pPr>
      <w:r>
        <w:t xml:space="preserve">In 2023, 17 percent of people living in New Zealand households were disabled. </w:t>
      </w:r>
      <w:r w:rsidDel="00C2152E">
        <w:t xml:space="preserve">This </w:t>
      </w:r>
      <w:r w:rsidDel="00D511B5">
        <w:t>equated to</w:t>
      </w:r>
      <w:r>
        <w:t xml:space="preserve"> 851,000 people</w:t>
      </w:r>
      <w:r w:rsidR="00DF001B">
        <w:t>,</w:t>
      </w:r>
      <w:r w:rsidDel="00DB6C37">
        <w:t xml:space="preserve"> of whom </w:t>
      </w:r>
      <w:r>
        <w:t xml:space="preserve">98,000 were children and 753,000 were adults. </w:t>
      </w:r>
    </w:p>
    <w:p w14:paraId="5954EDE9" w14:textId="00C31B2D" w:rsidR="00233C7D" w:rsidRDefault="3BEDD0ED" w:rsidP="00CA7561">
      <w:pPr>
        <w:pStyle w:val="Bullet1"/>
      </w:pPr>
      <w:r w:rsidRPr="3524BD2A">
        <w:t>Females were more likely to be disabled than males, at 18</w:t>
      </w:r>
      <w:r w:rsidR="0F0F75DC" w:rsidRPr="3524BD2A">
        <w:t xml:space="preserve"> percent</w:t>
      </w:r>
      <w:r w:rsidRPr="3524BD2A">
        <w:t xml:space="preserve"> and 15 percent respectively.</w:t>
      </w:r>
    </w:p>
    <w:p w14:paraId="2A37EAD3" w14:textId="5572A329" w:rsidR="00233C7D" w:rsidRDefault="00233C7D" w:rsidP="00CA7561">
      <w:pPr>
        <w:pStyle w:val="Bullet1"/>
        <w:rPr>
          <w:lang w:eastAsia="en-NZ"/>
        </w:rPr>
      </w:pPr>
      <w:r>
        <w:t xml:space="preserve">The disability rate for children was 10 percent and for adults, 18 percent. </w:t>
      </w:r>
      <w:r w:rsidR="00E94346">
        <w:t>The survey collected data from adults (aged 15 years or over) and children (under 15 years) living in households and had no upper or lower age limits.</w:t>
      </w:r>
    </w:p>
    <w:p w14:paraId="3E3858B3" w14:textId="0EAA3183" w:rsidR="00233C7D" w:rsidRDefault="00233C7D" w:rsidP="00CA7561">
      <w:pPr>
        <w:pStyle w:val="Bullet1"/>
      </w:pPr>
      <w:r>
        <w:t>Disability rates increase</w:t>
      </w:r>
      <w:r w:rsidR="00834265">
        <w:t>d</w:t>
      </w:r>
      <w:r>
        <w:t xml:space="preserve"> with age. The rate for adults aged 15</w:t>
      </w:r>
      <w:r w:rsidR="00A84C40">
        <w:t xml:space="preserve"> to </w:t>
      </w:r>
      <w:r>
        <w:t>44 years (12 percent) was not much higher than the child rate (10 percent). The rate was 17 percent for adults aged 45</w:t>
      </w:r>
      <w:r w:rsidR="00A84C40">
        <w:t xml:space="preserve"> to </w:t>
      </w:r>
      <w:r>
        <w:t>64</w:t>
      </w:r>
      <w:r w:rsidR="000C5AE9">
        <w:t>,</w:t>
      </w:r>
      <w:r>
        <w:t xml:space="preserve"> and 35 percent for adults aged 65 and over.</w:t>
      </w:r>
    </w:p>
    <w:p w14:paraId="12AF9FC6" w14:textId="37AB08B2" w:rsidR="00233C7D" w:rsidRDefault="00233C7D" w:rsidP="00CA7561">
      <w:pPr>
        <w:pStyle w:val="Bullet1"/>
      </w:pPr>
      <w:r>
        <w:t>Disability rates differ</w:t>
      </w:r>
      <w:r w:rsidR="00C526C0">
        <w:t>ed</w:t>
      </w:r>
      <w:r>
        <w:t xml:space="preserve"> by ethnic group. Māori had a disability rate of 21 percent</w:t>
      </w:r>
      <w:r w:rsidR="009C0D00">
        <w:t>,</w:t>
      </w:r>
      <w:r w:rsidR="004A2E08">
        <w:t xml:space="preserve"> </w:t>
      </w:r>
      <w:r>
        <w:t>P</w:t>
      </w:r>
      <w:r w:rsidR="003E513B">
        <w:t>acific p</w:t>
      </w:r>
      <w:r>
        <w:t>eople</w:t>
      </w:r>
      <w:r w:rsidR="007F0C83" w:rsidDel="003E513B">
        <w:t xml:space="preserve"> </w:t>
      </w:r>
      <w:r>
        <w:t>16 percent</w:t>
      </w:r>
      <w:r w:rsidR="009C0D00">
        <w:t>,</w:t>
      </w:r>
      <w:r>
        <w:t xml:space="preserve"> and Asian people 9 percent.</w:t>
      </w:r>
      <w:r w:rsidR="004A2E08">
        <w:t xml:space="preserve"> </w:t>
      </w:r>
    </w:p>
    <w:p w14:paraId="3B62C49D" w14:textId="226CE932" w:rsidR="00233C7D" w:rsidRDefault="00233C7D" w:rsidP="00CA7561">
      <w:pPr>
        <w:pStyle w:val="Bullet1"/>
      </w:pPr>
      <w:r>
        <w:t>Adjusting for age differences increase</w:t>
      </w:r>
      <w:r w:rsidR="00AE0FDB">
        <w:t>d</w:t>
      </w:r>
      <w:r>
        <w:t xml:space="preserve"> disability rates </w:t>
      </w:r>
      <w:r w:rsidR="002E00AE">
        <w:t xml:space="preserve">in these three ethnic groups </w:t>
      </w:r>
      <w:r>
        <w:t xml:space="preserve">as they have younger population profiles than the total population. With age-adjustment, the Māori </w:t>
      </w:r>
      <w:r w:rsidR="001F256D">
        <w:t xml:space="preserve">disability </w:t>
      </w:r>
      <w:r>
        <w:t xml:space="preserve">rate moved to 24 percent, the Pacific </w:t>
      </w:r>
      <w:r w:rsidR="002A6EBF">
        <w:t xml:space="preserve">people </w:t>
      </w:r>
      <w:r>
        <w:t>rate to 21 percent, and the Asian rate to 13 percent.</w:t>
      </w:r>
    </w:p>
    <w:p w14:paraId="571D9639" w14:textId="667ADDEE" w:rsidR="00233C7D" w:rsidRDefault="00233C7D" w:rsidP="00CA7561">
      <w:pPr>
        <w:pStyle w:val="Bullet1"/>
      </w:pPr>
      <w:r>
        <w:t xml:space="preserve">The disability rate for the LGBTIQ+ population was 29 percent, significantly higher than the non-LGBTIQ+ rate of 17 percent. After age-adjustment, the LGBTIQ+ rate was 31 percent. </w:t>
      </w:r>
    </w:p>
    <w:p w14:paraId="2518E4B9" w14:textId="0A26D3DA" w:rsidR="00233C7D" w:rsidRDefault="00233C7D" w:rsidP="00CA7561">
      <w:pPr>
        <w:pStyle w:val="Bullet1"/>
      </w:pPr>
      <w:r>
        <w:t>Regions with disability rates significantly higher than the national rate were Northland (23</w:t>
      </w:r>
      <w:r w:rsidR="00B033DD">
        <w:t xml:space="preserve"> percent</w:t>
      </w:r>
      <w:r>
        <w:t>), Manawatū-Whanganui (21</w:t>
      </w:r>
      <w:r w:rsidR="00B033DD">
        <w:t xml:space="preserve"> percent</w:t>
      </w:r>
      <w:r>
        <w:t>)</w:t>
      </w:r>
      <w:r w:rsidR="00502437">
        <w:t>,</w:t>
      </w:r>
      <w:r>
        <w:t xml:space="preserve"> and Taranaki (21</w:t>
      </w:r>
      <w:r w:rsidR="00B033DD">
        <w:t xml:space="preserve"> percent</w:t>
      </w:r>
      <w:r>
        <w:t>).</w:t>
      </w:r>
    </w:p>
    <w:p w14:paraId="470B42C8" w14:textId="0E9A16FC" w:rsidR="00233C7D" w:rsidRDefault="00233C7D" w:rsidP="00CA7561">
      <w:pPr>
        <w:pStyle w:val="Bullet1"/>
      </w:pPr>
      <w:r>
        <w:t>Auckland (14</w:t>
      </w:r>
      <w:r w:rsidR="00B033DD">
        <w:t xml:space="preserve"> percent</w:t>
      </w:r>
      <w:r>
        <w:t>) had a disability rate significantly lower than the national rate.</w:t>
      </w:r>
    </w:p>
    <w:p w14:paraId="29B01E37" w14:textId="12BE1BF7" w:rsidR="00233C7D" w:rsidRDefault="00233C7D" w:rsidP="00CA7561">
      <w:pPr>
        <w:pStyle w:val="Bullet1"/>
      </w:pPr>
      <w:r>
        <w:t>Disability status was based on functional difficulty.</w:t>
      </w:r>
      <w:r w:rsidR="004A2E08">
        <w:t xml:space="preserve"> </w:t>
      </w:r>
      <w:r>
        <w:t xml:space="preserve">People were counted as disabled if they </w:t>
      </w:r>
      <w:r w:rsidR="00B5793F">
        <w:t xml:space="preserve">– or </w:t>
      </w:r>
      <w:r w:rsidR="00E54365">
        <w:t>for</w:t>
      </w:r>
      <w:r w:rsidR="00B5793F">
        <w:t xml:space="preserve"> children, their caregiver – </w:t>
      </w:r>
      <w:r>
        <w:t xml:space="preserve">reported having difficulty in at least one of the aspects of universal human functioning (domains) </w:t>
      </w:r>
      <w:r w:rsidDel="00DD73D4">
        <w:t xml:space="preserve">that were </w:t>
      </w:r>
      <w:r>
        <w:t>measured in the survey and the</w:t>
      </w:r>
      <w:r w:rsidR="00CE044B">
        <w:t>ir</w:t>
      </w:r>
      <w:r>
        <w:t xml:space="preserve"> level of difficulty met the threshold for that domain.</w:t>
      </w:r>
    </w:p>
    <w:p w14:paraId="2E002BC1" w14:textId="76AE40F7" w:rsidR="00405836" w:rsidRPr="00BC548D" w:rsidRDefault="69201E92" w:rsidP="3524BD2A">
      <w:pPr>
        <w:pStyle w:val="Bullet1"/>
      </w:pPr>
      <w:r w:rsidRPr="3524BD2A">
        <w:t xml:space="preserve">For adults, difficulties with physical functioning were the most common. </w:t>
      </w:r>
      <w:r w:rsidR="11050653" w:rsidRPr="3524BD2A">
        <w:t>For children, d</w:t>
      </w:r>
      <w:r w:rsidRPr="3524BD2A">
        <w:t>ifficulties with mental health and with accepting change to their routine were the most common.</w:t>
      </w:r>
      <w:bookmarkStart w:id="68" w:name="_Toc187762872"/>
      <w:bookmarkStart w:id="69" w:name="_Toc187763566"/>
      <w:bookmarkStart w:id="70" w:name="_Toc187763833"/>
      <w:bookmarkEnd w:id="67"/>
      <w:r w:rsidRPr="3524BD2A">
        <w:br w:type="page"/>
      </w:r>
    </w:p>
    <w:p w14:paraId="0C251C0E" w14:textId="0392B396" w:rsidR="003D68DE" w:rsidRDefault="003D68DE" w:rsidP="003D68DE">
      <w:pPr>
        <w:pStyle w:val="Heading1"/>
      </w:pPr>
      <w:bookmarkStart w:id="71" w:name="_Toc190856836"/>
      <w:r>
        <w:t>3. Introduction</w:t>
      </w:r>
      <w:bookmarkEnd w:id="68"/>
      <w:bookmarkEnd w:id="69"/>
      <w:bookmarkEnd w:id="70"/>
      <w:bookmarkEnd w:id="71"/>
      <w:r>
        <w:t xml:space="preserve"> </w:t>
      </w:r>
    </w:p>
    <w:p w14:paraId="427F25D4" w14:textId="3EB012D9" w:rsidR="0088392F" w:rsidRDefault="009C0D13" w:rsidP="009C0D13">
      <w:r w:rsidRPr="009C0D13">
        <w:t xml:space="preserve">The 2023 Household Disability Survey (HDS) was designed to provide estimates of disability prevalence </w:t>
      </w:r>
      <w:r w:rsidR="00133FE5">
        <w:t>among</w:t>
      </w:r>
      <w:r w:rsidRPr="009C0D13">
        <w:t xml:space="preserve"> people living in </w:t>
      </w:r>
      <w:r w:rsidR="00DA0A51">
        <w:t>N</w:t>
      </w:r>
      <w:r w:rsidR="001D79D2">
        <w:t xml:space="preserve">ew </w:t>
      </w:r>
      <w:r w:rsidR="00DA0A51">
        <w:t>Z</w:t>
      </w:r>
      <w:r w:rsidR="001D79D2">
        <w:t>ealand</w:t>
      </w:r>
      <w:r w:rsidR="00DA0A51">
        <w:t xml:space="preserve"> </w:t>
      </w:r>
      <w:r w:rsidRPr="009C0D13">
        <w:t>households</w:t>
      </w:r>
      <w:r w:rsidR="00C56F8E">
        <w:t>,</w:t>
      </w:r>
      <w:r w:rsidRPr="009C0D13">
        <w:t xml:space="preserve"> and information about their experiences and needs. The HDS is an important source of official statistics about disabled people in N</w:t>
      </w:r>
      <w:r w:rsidR="00BF0F36">
        <w:t xml:space="preserve">ew </w:t>
      </w:r>
      <w:r w:rsidRPr="009C0D13">
        <w:t>Z</w:t>
      </w:r>
      <w:r w:rsidR="00BF0F36">
        <w:t>ealand</w:t>
      </w:r>
      <w:r w:rsidRPr="009C0D13">
        <w:t xml:space="preserve"> and helps to show how well they </w:t>
      </w:r>
      <w:r w:rsidRPr="00CD36A6">
        <w:t xml:space="preserve">are faring </w:t>
      </w:r>
      <w:r w:rsidRPr="009C0D13">
        <w:t xml:space="preserve">compared with non-disabled people. </w:t>
      </w:r>
      <w:r w:rsidR="0088392F" w:rsidRPr="009C0D13">
        <w:t>The 2023 HDS sample was selected from the 2023</w:t>
      </w:r>
      <w:r w:rsidR="002B6990">
        <w:t xml:space="preserve"> </w:t>
      </w:r>
      <w:r w:rsidR="0088392F" w:rsidRPr="009C0D13">
        <w:t>Census of Population and Dwellings</w:t>
      </w:r>
      <w:r w:rsidR="0036745B">
        <w:t xml:space="preserve"> (2023 Census)</w:t>
      </w:r>
      <w:r w:rsidR="0088392F" w:rsidRPr="009C0D13">
        <w:t xml:space="preserve">. </w:t>
      </w:r>
    </w:p>
    <w:p w14:paraId="0EA60CEE" w14:textId="77777777" w:rsidR="00A57F94" w:rsidRDefault="009C0D13" w:rsidP="00BD363B">
      <w:r w:rsidRPr="009C0D13">
        <w:t xml:space="preserve">In this survey </w:t>
      </w:r>
      <w:r w:rsidRPr="009C0D13" w:rsidDel="00D9574F">
        <w:t xml:space="preserve">the word </w:t>
      </w:r>
      <w:r w:rsidRPr="009C0D13">
        <w:t xml:space="preserve">‘disabled’ </w:t>
      </w:r>
      <w:r w:rsidRPr="009C0D13" w:rsidDel="00D9574F">
        <w:t xml:space="preserve">is used to </w:t>
      </w:r>
      <w:r w:rsidRPr="009C0D13">
        <w:t xml:space="preserve">mean having functional difficulty that limits everyday activities. </w:t>
      </w:r>
      <w:r w:rsidR="00654245" w:rsidRPr="009C0D13" w:rsidDel="00654245">
        <w:t>There are</w:t>
      </w:r>
      <w:r w:rsidR="00654245" w:rsidRPr="009C0D13">
        <w:t xml:space="preserve"> other ways</w:t>
      </w:r>
      <w:r w:rsidR="00654245" w:rsidRPr="009C0D13" w:rsidDel="00654245">
        <w:t xml:space="preserve"> i</w:t>
      </w:r>
      <w:r w:rsidR="00654245" w:rsidDel="00654245">
        <w:t>n</w:t>
      </w:r>
      <w:r w:rsidR="00654245" w:rsidRPr="009C0D13" w:rsidDel="00654245">
        <w:t xml:space="preserve"> which disability can be understood</w:t>
      </w:r>
      <w:r w:rsidR="00654245" w:rsidRPr="009C0D13">
        <w:t>.</w:t>
      </w:r>
      <w:r w:rsidR="00654245">
        <w:t xml:space="preserve"> </w:t>
      </w:r>
      <w:r w:rsidRPr="009C0D13">
        <w:t xml:space="preserve">The HDS counted a person as disabled if they reported </w:t>
      </w:r>
      <w:r w:rsidR="00BD363B">
        <w:t xml:space="preserve">(or </w:t>
      </w:r>
      <w:r w:rsidR="00EE1084">
        <w:t>for</w:t>
      </w:r>
      <w:r w:rsidR="00BD363B">
        <w:t xml:space="preserve"> children,</w:t>
      </w:r>
      <w:r w:rsidR="00FD5614">
        <w:t xml:space="preserve"> if</w:t>
      </w:r>
      <w:r w:rsidR="00BD363B">
        <w:t xml:space="preserve"> their caregiver reported) </w:t>
      </w:r>
      <w:r w:rsidRPr="009C0D13">
        <w:t xml:space="preserve">a long-term difficulty in at least one functional domain included for their </w:t>
      </w:r>
      <w:r w:rsidR="00751C74">
        <w:t>age group</w:t>
      </w:r>
      <w:r w:rsidRPr="009C0D13">
        <w:t xml:space="preserve">. </w:t>
      </w:r>
    </w:p>
    <w:p w14:paraId="6DECEE4D" w14:textId="652D1C5D" w:rsidR="009C0D13" w:rsidRPr="009C0D13" w:rsidRDefault="00AB3061" w:rsidP="00BD363B">
      <w:hyperlink w:anchor="_6.1_Defining_disability" w:history="1">
        <w:r w:rsidRPr="00AF351F">
          <w:rPr>
            <w:rStyle w:val="Hyperlink"/>
            <w:rFonts w:ascii="Calibri" w:hAnsi="Calibri"/>
          </w:rPr>
          <w:t>6.1 Defining disability</w:t>
        </w:r>
      </w:hyperlink>
      <w:r>
        <w:t xml:space="preserve"> provides m</w:t>
      </w:r>
      <w:r w:rsidR="009C0D13" w:rsidRPr="009C0D13">
        <w:t>ore information on the definition of disability used in the survey</w:t>
      </w:r>
      <w:r>
        <w:t>.</w:t>
      </w:r>
    </w:p>
    <w:p w14:paraId="4E9BD172" w14:textId="5E0ABB0C" w:rsidR="00B46ABC" w:rsidRDefault="009C0D13" w:rsidP="00A51206">
      <w:r w:rsidRPr="009C0D13">
        <w:t>The 2023 HDS was the fifth disability-specific survey of usual New Zealand residents living in households. The first was carried out in 1996</w:t>
      </w:r>
      <w:r w:rsidR="00E939D2">
        <w:t>,</w:t>
      </w:r>
      <w:r w:rsidRPr="009C0D13">
        <w:t xml:space="preserve"> followed by o</w:t>
      </w:r>
      <w:r w:rsidR="002C1A21">
        <w:t>thers</w:t>
      </w:r>
      <w:r w:rsidRPr="009C0D13">
        <w:t xml:space="preserve"> after </w:t>
      </w:r>
      <w:r w:rsidR="002B4C23">
        <w:t>the</w:t>
      </w:r>
      <w:r w:rsidR="002B4C23" w:rsidRPr="009C0D13">
        <w:t xml:space="preserve"> </w:t>
      </w:r>
      <w:r w:rsidR="005959FD" w:rsidRPr="009C0D13">
        <w:t>2001, 2006, and 2013</w:t>
      </w:r>
      <w:r w:rsidR="00AF3379">
        <w:t xml:space="preserve"> </w:t>
      </w:r>
      <w:r w:rsidR="00F40C16">
        <w:t>p</w:t>
      </w:r>
      <w:r w:rsidRPr="009C0D13">
        <w:t xml:space="preserve">opulation </w:t>
      </w:r>
      <w:r w:rsidR="00F40C16">
        <w:t>c</w:t>
      </w:r>
      <w:r w:rsidRPr="009C0D13">
        <w:t>ensus</w:t>
      </w:r>
      <w:r w:rsidR="00CC3C30">
        <w:t>e</w:t>
      </w:r>
      <w:r w:rsidR="005959FD">
        <w:t>s</w:t>
      </w:r>
      <w:r w:rsidRPr="009C0D13">
        <w:t>.</w:t>
      </w:r>
      <w:r w:rsidR="004575B7">
        <w:t xml:space="preserve"> </w:t>
      </w:r>
      <w:r w:rsidRPr="009C0D13">
        <w:t>The concept of disability measured in these surveys (functional difficulty) has been broadly consistent</w:t>
      </w:r>
      <w:r w:rsidRPr="009C0D13" w:rsidDel="00CC28FE">
        <w:t xml:space="preserve"> across them</w:t>
      </w:r>
      <w:r w:rsidR="003C2D9F">
        <w:t>.</w:t>
      </w:r>
      <w:r w:rsidRPr="009C0D13">
        <w:t xml:space="preserve"> </w:t>
      </w:r>
      <w:r w:rsidR="003C2D9F">
        <w:t>H</w:t>
      </w:r>
      <w:r w:rsidRPr="009C0D13">
        <w:t>owever</w:t>
      </w:r>
      <w:r w:rsidR="0098127F">
        <w:t>,</w:t>
      </w:r>
      <w:r w:rsidRPr="009C0D13">
        <w:t xml:space="preserve"> findings from 2023 are not comparable with the earlier surveys due to differences in the survey questions. </w:t>
      </w:r>
      <w:r w:rsidRPr="009C0D13" w:rsidDel="000677D9">
        <w:t>Compared with</w:t>
      </w:r>
      <w:r w:rsidRPr="009C0D13" w:rsidDel="00BC5572">
        <w:t xml:space="preserve"> </w:t>
      </w:r>
      <w:r w:rsidRPr="009C0D13">
        <w:t>the 2013 disability survey</w:t>
      </w:r>
      <w:r w:rsidRPr="009C0D13" w:rsidDel="004B24E1">
        <w:t xml:space="preserve"> for example</w:t>
      </w:r>
      <w:r w:rsidRPr="009C0D13">
        <w:t xml:space="preserve">, </w:t>
      </w:r>
      <w:r w:rsidRPr="009C0D13" w:rsidDel="000677D9">
        <w:t xml:space="preserve">a higher threshold was set for counting a person as disabled </w:t>
      </w:r>
      <w:r w:rsidRPr="009C0D13">
        <w:t>and this was expected to result in lower disability prevalence in 2023.</w:t>
      </w:r>
      <w:r w:rsidR="00A02E1C">
        <w:t xml:space="preserve"> </w:t>
      </w:r>
      <w:r w:rsidRPr="009C0D13">
        <w:t xml:space="preserve">There were also changes in the number and wording of the screening questions. </w:t>
      </w:r>
    </w:p>
    <w:p w14:paraId="48A3F1E0" w14:textId="6C20C069" w:rsidR="00A51206" w:rsidRDefault="000F2268" w:rsidP="00A51206">
      <w:hyperlink w:anchor="_10.2_Comparability_with">
        <w:r w:rsidRPr="6C7481EF">
          <w:rPr>
            <w:rStyle w:val="Hyperlink"/>
            <w:rFonts w:ascii="Calibri" w:hAnsi="Calibri"/>
          </w:rPr>
          <w:t>10.</w:t>
        </w:r>
        <w:r w:rsidR="00C63119" w:rsidRPr="6C7481EF">
          <w:rPr>
            <w:rStyle w:val="Hyperlink"/>
            <w:rFonts w:ascii="Calibri" w:hAnsi="Calibri"/>
          </w:rPr>
          <w:t>2</w:t>
        </w:r>
        <w:r w:rsidRPr="6C7481EF">
          <w:rPr>
            <w:rStyle w:val="Hyperlink"/>
            <w:rFonts w:ascii="Calibri" w:hAnsi="Calibri"/>
          </w:rPr>
          <w:t xml:space="preserve"> Comparability with previous disability surveys</w:t>
        </w:r>
      </w:hyperlink>
      <w:r w:rsidR="00B46ABC" w:rsidRPr="00B46ABC">
        <w:t xml:space="preserve"> </w:t>
      </w:r>
      <w:r w:rsidR="00B46ABC">
        <w:t>provides m</w:t>
      </w:r>
      <w:r w:rsidR="00B46ABC" w:rsidRPr="009C0D13">
        <w:t>ore detail</w:t>
      </w:r>
      <w:r w:rsidR="007450A4">
        <w:t xml:space="preserve"> on </w:t>
      </w:r>
      <w:r w:rsidR="007450A4" w:rsidRPr="009C0D13">
        <w:t>screening questions</w:t>
      </w:r>
      <w:r w:rsidR="002C1B09">
        <w:t>.</w:t>
      </w:r>
      <w:r w:rsidR="00A51206">
        <w:t xml:space="preserve"> </w:t>
      </w:r>
    </w:p>
    <w:p w14:paraId="317EBC60" w14:textId="77777777" w:rsidR="00405836" w:rsidRDefault="00405836">
      <w:pPr>
        <w:spacing w:after="160" w:line="259" w:lineRule="auto"/>
        <w:rPr>
          <w:rFonts w:eastAsiaTheme="majorEastAsia" w:cstheme="majorBidi"/>
          <w:bCs/>
          <w:noProof/>
          <w:color w:val="4E5B61"/>
          <w:sz w:val="40"/>
          <w:szCs w:val="28"/>
          <w:lang w:eastAsia="en-NZ"/>
        </w:rPr>
      </w:pPr>
      <w:bookmarkStart w:id="72" w:name="_Toc187762873"/>
      <w:bookmarkStart w:id="73" w:name="_Toc187763567"/>
      <w:bookmarkStart w:id="74" w:name="_Toc187763834"/>
      <w:r>
        <w:br w:type="page"/>
      </w:r>
    </w:p>
    <w:p w14:paraId="736AA852" w14:textId="04F120AA" w:rsidR="0072746F" w:rsidRDefault="0072746F" w:rsidP="0072746F">
      <w:pPr>
        <w:pStyle w:val="Heading1"/>
      </w:pPr>
      <w:bookmarkStart w:id="75" w:name="_Toc190856837"/>
      <w:r>
        <w:t>4.</w:t>
      </w:r>
      <w:r w:rsidR="00024085">
        <w:t xml:space="preserve"> </w:t>
      </w:r>
      <w:r w:rsidR="00024085" w:rsidRPr="00024085">
        <w:t>HDS findings about disability prevalence</w:t>
      </w:r>
      <w:bookmarkEnd w:id="72"/>
      <w:bookmarkEnd w:id="73"/>
      <w:bookmarkEnd w:id="74"/>
      <w:bookmarkEnd w:id="75"/>
    </w:p>
    <w:p w14:paraId="06680265" w14:textId="01EE08E2" w:rsidR="00CC1136" w:rsidRDefault="00E41975" w:rsidP="00A51206">
      <w:r w:rsidRPr="00E41975">
        <w:t>An estimated 17 percent of people living in New Zealand households were counted as disabled in 2023</w:t>
      </w:r>
      <w:r w:rsidR="00675DFC">
        <w:t>,</w:t>
      </w:r>
      <w:r w:rsidRPr="00E41975">
        <w:t xml:space="preserve"> </w:t>
      </w:r>
      <w:r w:rsidRPr="00E41975" w:rsidDel="00AC0E04">
        <w:t xml:space="preserve">amounting to </w:t>
      </w:r>
      <w:r w:rsidRPr="00E41975">
        <w:t xml:space="preserve">851,000 people. Disability varies across demographic groups. The following sections provide details on disability prevalence by those groups. </w:t>
      </w:r>
    </w:p>
    <w:p w14:paraId="6D52C2C9" w14:textId="7D85DDF6" w:rsidR="0072746F" w:rsidRDefault="00E41975" w:rsidP="00A51206">
      <w:r w:rsidRPr="00491023">
        <w:rPr>
          <w:bCs/>
        </w:rPr>
        <w:t>For sampling error</w:t>
      </w:r>
      <w:r w:rsidR="00016A7A" w:rsidRPr="00491023">
        <w:rPr>
          <w:bCs/>
        </w:rPr>
        <w:t>s</w:t>
      </w:r>
      <w:r w:rsidRPr="00491023">
        <w:rPr>
          <w:bCs/>
        </w:rPr>
        <w:t xml:space="preserve"> on all estimates</w:t>
      </w:r>
      <w:r w:rsidR="00A92499">
        <w:t>,</w:t>
      </w:r>
      <w:r w:rsidRPr="00E41975">
        <w:t xml:space="preserve"> see the Excel tables available for download </w:t>
      </w:r>
      <w:r w:rsidR="003417F9">
        <w:t xml:space="preserve">from </w:t>
      </w:r>
      <w:hyperlink r:id="rId34" w:history="1">
        <w:r w:rsidR="00CF107A" w:rsidRPr="00D2238A">
          <w:rPr>
            <w:rStyle w:val="Hyperlink"/>
            <w:rFonts w:ascii="Calibri" w:hAnsi="Calibri"/>
          </w:rPr>
          <w:t>Disability statistics: 2023</w:t>
        </w:r>
      </w:hyperlink>
      <w:r w:rsidR="003417F9">
        <w:t>.</w:t>
      </w:r>
    </w:p>
    <w:p w14:paraId="20A7A671" w14:textId="0C834F11" w:rsidR="00940BE2" w:rsidRDefault="00E41975" w:rsidP="009A72D8">
      <w:pPr>
        <w:pStyle w:val="Heading2"/>
      </w:pPr>
      <w:bookmarkStart w:id="76" w:name="_Toc187762874"/>
      <w:bookmarkStart w:id="77" w:name="_Toc187763568"/>
      <w:bookmarkStart w:id="78" w:name="_Toc187763835"/>
      <w:bookmarkStart w:id="79" w:name="_Toc190856838"/>
      <w:r>
        <w:t xml:space="preserve">4.1 </w:t>
      </w:r>
      <w:r w:rsidR="00187FD5">
        <w:t>By age group</w:t>
      </w:r>
      <w:bookmarkStart w:id="80" w:name="_Toc476663088"/>
      <w:bookmarkEnd w:id="76"/>
      <w:bookmarkEnd w:id="77"/>
      <w:bookmarkEnd w:id="78"/>
      <w:bookmarkEnd w:id="79"/>
      <w:r w:rsidR="00187FD5">
        <w:t xml:space="preserve"> </w:t>
      </w:r>
      <w:bookmarkEnd w:id="80"/>
    </w:p>
    <w:p w14:paraId="60F0A85E" w14:textId="5917BB8D" w:rsidR="00D52D35" w:rsidRDefault="00D52D35" w:rsidP="00D52D35">
      <w:r>
        <w:t xml:space="preserve">The </w:t>
      </w:r>
      <w:r w:rsidR="003E6A3A">
        <w:t>disability prevalence rate (</w:t>
      </w:r>
      <w:r>
        <w:t>disability rate</w:t>
      </w:r>
      <w:r w:rsidR="003E6A3A">
        <w:t>)</w:t>
      </w:r>
      <w:r>
        <w:t xml:space="preserve"> for adults living in N</w:t>
      </w:r>
      <w:r w:rsidR="00736C66">
        <w:t xml:space="preserve">ew </w:t>
      </w:r>
      <w:r>
        <w:t>Z</w:t>
      </w:r>
      <w:r w:rsidR="00736C66">
        <w:t>ealand</w:t>
      </w:r>
      <w:r>
        <w:t xml:space="preserve"> households was 18 percent, and for children</w:t>
      </w:r>
      <w:r w:rsidR="005B4853">
        <w:t xml:space="preserve"> it was</w:t>
      </w:r>
      <w:r>
        <w:t xml:space="preserve"> 10 percent. This means that 753,000 adults and 98,000 children were counted as disabled. The survey defined children as people aged 0</w:t>
      </w:r>
      <w:r w:rsidR="00BA3FBF">
        <w:t xml:space="preserve"> to </w:t>
      </w:r>
      <w:r>
        <w:t xml:space="preserve">14 years inclusive, and adults as people aged 15 years or older. </w:t>
      </w:r>
    </w:p>
    <w:p w14:paraId="0B78113E" w14:textId="0ABD4E9F" w:rsidR="00D52D35" w:rsidRDefault="2456E08D" w:rsidP="00D52D35">
      <w:r w:rsidRPr="3524BD2A">
        <w:t xml:space="preserve">The </w:t>
      </w:r>
      <w:r w:rsidR="5597317F" w:rsidRPr="3524BD2A">
        <w:t>correlation</w:t>
      </w:r>
      <w:r w:rsidRPr="3524BD2A">
        <w:t xml:space="preserve"> between age and disability is widely understood and the 2023 HDS findings support this relationship.</w:t>
      </w:r>
      <w:r w:rsidR="5D3B6FF3" w:rsidRPr="3524BD2A">
        <w:t xml:space="preserve"> </w:t>
      </w:r>
      <w:r w:rsidRPr="3524BD2A">
        <w:t>Older people have had longer to acquire functional difficulties from injury or disease</w:t>
      </w:r>
      <w:r w:rsidR="53380CAF" w:rsidRPr="3524BD2A">
        <w:t>,</w:t>
      </w:r>
      <w:r w:rsidRPr="3524BD2A">
        <w:t xml:space="preserve"> and ageing itself </w:t>
      </w:r>
      <w:r w:rsidR="69A5056F" w:rsidRPr="3524BD2A">
        <w:t>causes</w:t>
      </w:r>
      <w:r w:rsidRPr="3524BD2A">
        <w:t xml:space="preserve"> increasing difficulty with functioning.</w:t>
      </w:r>
      <w:r w:rsidR="5D3B6FF3" w:rsidRPr="3524BD2A">
        <w:t xml:space="preserve"> </w:t>
      </w:r>
    </w:p>
    <w:p w14:paraId="31E7CF6D" w14:textId="1A4C28E2" w:rsidR="00D52D35" w:rsidRDefault="00470C98" w:rsidP="00D52D35">
      <w:r>
        <w:t xml:space="preserve">Table 1 </w:t>
      </w:r>
      <w:r w:rsidR="00D52D35">
        <w:t>shows that the disability rate was lowest for children at 10 percent.</w:t>
      </w:r>
      <w:r w:rsidR="00A02E1C">
        <w:t xml:space="preserve"> </w:t>
      </w:r>
      <w:r w:rsidR="00D52D35" w:rsidDel="00BA2DE2">
        <w:t>T</w:t>
      </w:r>
      <w:r w:rsidR="00D52D35" w:rsidDel="00AC0526">
        <w:t xml:space="preserve">hree </w:t>
      </w:r>
      <w:r w:rsidR="00751C74" w:rsidDel="00AC0526">
        <w:t>age group</w:t>
      </w:r>
      <w:r w:rsidR="00D52D35" w:rsidDel="00AC0526">
        <w:t>s</w:t>
      </w:r>
      <w:r w:rsidR="00D52D35" w:rsidDel="000A78F2">
        <w:t xml:space="preserve"> </w:t>
      </w:r>
      <w:r w:rsidR="00D52D35" w:rsidDel="00BA2DE2">
        <w:t xml:space="preserve">are shown </w:t>
      </w:r>
      <w:r w:rsidR="00D52D35" w:rsidDel="000A78F2">
        <w:t>for adults</w:t>
      </w:r>
      <w:r w:rsidR="00D52D35" w:rsidDel="00BA2DE2">
        <w:t>.</w:t>
      </w:r>
      <w:r w:rsidR="00A02E1C" w:rsidDel="00BA2DE2">
        <w:t xml:space="preserve"> </w:t>
      </w:r>
      <w:r w:rsidR="00D52D35" w:rsidDel="00F62724">
        <w:t xml:space="preserve">The disability rates rose </w:t>
      </w:r>
      <w:r w:rsidR="00D52D35" w:rsidDel="00BA2DE2">
        <w:t>in each</w:t>
      </w:r>
      <w:r w:rsidR="00E73AD7">
        <w:t xml:space="preserve"> adult age group</w:t>
      </w:r>
      <w:r>
        <w:t xml:space="preserve"> </w:t>
      </w:r>
      <w:r w:rsidR="00D52D35">
        <w:t xml:space="preserve">to reach 35 percent for adults aged 65 years and over. </w:t>
      </w:r>
    </w:p>
    <w:p w14:paraId="0ADE709D" w14:textId="4573A4C3" w:rsidR="0054673D" w:rsidRPr="00E6628C" w:rsidRDefault="0054673D" w:rsidP="00897777">
      <w:pPr>
        <w:pStyle w:val="Figureandtablenumbers"/>
        <w:spacing w:before="0"/>
      </w:pPr>
      <w:r>
        <w:t xml:space="preserve">Table 1 </w:t>
      </w:r>
    </w:p>
    <w:p w14:paraId="1292FF45" w14:textId="435F9FA5" w:rsidR="0054673D" w:rsidRPr="000275D8" w:rsidRDefault="0054673D" w:rsidP="002D3E07">
      <w:pPr>
        <w:pStyle w:val="Tabletitle-forhiding"/>
      </w:pPr>
      <w:bookmarkStart w:id="81" w:name="_Toc190426270"/>
      <w:r>
        <w:t xml:space="preserve">1 </w:t>
      </w:r>
      <w:r w:rsidR="00C030E6">
        <w:t>Disability</w:t>
      </w:r>
      <w:r w:rsidR="002D3E07">
        <w:t xml:space="preserve"> </w:t>
      </w:r>
      <w:r w:rsidR="00C030E6">
        <w:t>prevalence by age group</w:t>
      </w:r>
      <w:bookmarkEnd w:id="81"/>
    </w:p>
    <w:tbl>
      <w:tblPr>
        <w:tblW w:w="7083"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410"/>
        <w:gridCol w:w="2410"/>
      </w:tblGrid>
      <w:tr w:rsidR="00A3018E" w14:paraId="77ADA879" w14:textId="77777777" w:rsidTr="00916A16">
        <w:trPr>
          <w:trHeight w:val="420"/>
        </w:trPr>
        <w:tc>
          <w:tcPr>
            <w:tcW w:w="7083" w:type="dxa"/>
            <w:gridSpan w:val="3"/>
            <w:tcBorders>
              <w:left w:val="single" w:sz="4" w:space="0" w:color="auto"/>
              <w:right w:val="single" w:sz="4" w:space="0" w:color="auto"/>
            </w:tcBorders>
            <w:vAlign w:val="center"/>
          </w:tcPr>
          <w:p w14:paraId="64DFC5A1" w14:textId="32843462" w:rsidR="00A3018E" w:rsidRDefault="0045440B" w:rsidP="0045440B">
            <w:pPr>
              <w:pStyle w:val="Tabletitle1"/>
            </w:pPr>
            <w:r>
              <w:t xml:space="preserve">Disability prevalence by age group </w:t>
            </w:r>
          </w:p>
        </w:tc>
      </w:tr>
      <w:tr w:rsidR="00470E44" w14:paraId="46C449D7" w14:textId="77777777" w:rsidTr="00916A16">
        <w:trPr>
          <w:trHeight w:val="420"/>
        </w:trPr>
        <w:tc>
          <w:tcPr>
            <w:tcW w:w="2263" w:type="dxa"/>
            <w:tcBorders>
              <w:left w:val="single" w:sz="4" w:space="0" w:color="auto"/>
              <w:bottom w:val="single" w:sz="4" w:space="0" w:color="auto"/>
            </w:tcBorders>
            <w:vAlign w:val="center"/>
          </w:tcPr>
          <w:p w14:paraId="7247A95D" w14:textId="178C291B" w:rsidR="00470E44" w:rsidRPr="004A691B" w:rsidRDefault="00470E44" w:rsidP="009B1C87">
            <w:pPr>
              <w:pStyle w:val="Numbertablecolumnheading-leftaligned"/>
            </w:pPr>
            <w:r>
              <w:t>Age group</w:t>
            </w:r>
          </w:p>
        </w:tc>
        <w:tc>
          <w:tcPr>
            <w:tcW w:w="2410" w:type="dxa"/>
            <w:tcBorders>
              <w:bottom w:val="single" w:sz="4" w:space="0" w:color="auto"/>
            </w:tcBorders>
            <w:vAlign w:val="center"/>
          </w:tcPr>
          <w:p w14:paraId="423949E6" w14:textId="51168EB8" w:rsidR="00470E44" w:rsidRPr="00B40B92" w:rsidRDefault="0012153C" w:rsidP="009B1C87">
            <w:pPr>
              <w:pStyle w:val="Numbertablecolumnheading-centered"/>
            </w:pPr>
            <w:r>
              <w:t>Disability rate (</w:t>
            </w:r>
            <w:r w:rsidR="00D13D37">
              <w:t>%)</w:t>
            </w:r>
          </w:p>
        </w:tc>
        <w:tc>
          <w:tcPr>
            <w:tcW w:w="2410" w:type="dxa"/>
            <w:tcBorders>
              <w:bottom w:val="single" w:sz="4" w:space="0" w:color="auto"/>
              <w:right w:val="single" w:sz="4" w:space="0" w:color="auto"/>
            </w:tcBorders>
            <w:vAlign w:val="center"/>
          </w:tcPr>
          <w:p w14:paraId="2AD4D2CC" w14:textId="441FF6D5" w:rsidR="00470E44" w:rsidRPr="00E409C9" w:rsidRDefault="00D13D37" w:rsidP="009B1C87">
            <w:pPr>
              <w:pStyle w:val="Numbertablecolumnheading-centered"/>
            </w:pPr>
            <w:r>
              <w:t>Number of disabled people</w:t>
            </w:r>
          </w:p>
        </w:tc>
      </w:tr>
      <w:tr w:rsidR="00470E44" w14:paraId="243708A1" w14:textId="77777777" w:rsidTr="00916A16">
        <w:trPr>
          <w:trHeight w:val="142"/>
        </w:trPr>
        <w:tc>
          <w:tcPr>
            <w:tcW w:w="2263" w:type="dxa"/>
            <w:tcBorders>
              <w:top w:val="single" w:sz="4" w:space="0" w:color="auto"/>
              <w:left w:val="single" w:sz="4" w:space="0" w:color="auto"/>
              <w:bottom w:val="nil"/>
              <w:right w:val="nil"/>
            </w:tcBorders>
            <w:vAlign w:val="center"/>
          </w:tcPr>
          <w:p w14:paraId="02098F6F" w14:textId="5B369360" w:rsidR="00470E44" w:rsidRDefault="009D0258" w:rsidP="009B1C87">
            <w:pPr>
              <w:pStyle w:val="Numbertablecolumnheading-leftaligned"/>
            </w:pPr>
            <w:r>
              <w:t>Children (0</w:t>
            </w:r>
            <w:r w:rsidR="00514CE3">
              <w:t xml:space="preserve"> to </w:t>
            </w:r>
            <w:r>
              <w:t>14 years)</w:t>
            </w:r>
          </w:p>
        </w:tc>
        <w:tc>
          <w:tcPr>
            <w:tcW w:w="2410" w:type="dxa"/>
            <w:tcBorders>
              <w:top w:val="single" w:sz="4" w:space="0" w:color="auto"/>
              <w:left w:val="nil"/>
              <w:bottom w:val="nil"/>
              <w:right w:val="nil"/>
            </w:tcBorders>
            <w:vAlign w:val="center"/>
          </w:tcPr>
          <w:p w14:paraId="43D04594" w14:textId="026CA268" w:rsidR="00470E44" w:rsidRPr="00676A28" w:rsidRDefault="00E41410" w:rsidP="009B1C87">
            <w:pPr>
              <w:pStyle w:val="Numbertablecolumnheading-centered"/>
            </w:pPr>
            <w:r>
              <w:t>10</w:t>
            </w:r>
          </w:p>
        </w:tc>
        <w:tc>
          <w:tcPr>
            <w:tcW w:w="2410" w:type="dxa"/>
            <w:tcBorders>
              <w:top w:val="single" w:sz="4" w:space="0" w:color="auto"/>
              <w:left w:val="nil"/>
              <w:bottom w:val="nil"/>
              <w:right w:val="single" w:sz="4" w:space="0" w:color="auto"/>
            </w:tcBorders>
            <w:vAlign w:val="center"/>
          </w:tcPr>
          <w:p w14:paraId="280A17B6" w14:textId="101DB9E8" w:rsidR="00470E44" w:rsidRPr="00676A28" w:rsidRDefault="00E41410" w:rsidP="009B1C87">
            <w:pPr>
              <w:pStyle w:val="Numbertablecolumnheading-centered"/>
            </w:pPr>
            <w:r>
              <w:t>98,000</w:t>
            </w:r>
          </w:p>
        </w:tc>
      </w:tr>
      <w:tr w:rsidR="00470E44" w14:paraId="05F0ABF2" w14:textId="77777777" w:rsidTr="00916A16">
        <w:trPr>
          <w:trHeight w:val="288"/>
        </w:trPr>
        <w:tc>
          <w:tcPr>
            <w:tcW w:w="2263" w:type="dxa"/>
            <w:tcBorders>
              <w:top w:val="nil"/>
              <w:left w:val="single" w:sz="4" w:space="0" w:color="auto"/>
              <w:bottom w:val="nil"/>
              <w:right w:val="nil"/>
            </w:tcBorders>
            <w:vAlign w:val="center"/>
          </w:tcPr>
          <w:p w14:paraId="6E52D822" w14:textId="333F64CE" w:rsidR="00470E44" w:rsidRPr="00E409C9" w:rsidRDefault="009D0258" w:rsidP="009B1C87">
            <w:pPr>
              <w:pStyle w:val="Numbertablecolumnheading-leftaligned"/>
            </w:pPr>
            <w:r>
              <w:t>Adults (15+ years)</w:t>
            </w:r>
          </w:p>
        </w:tc>
        <w:tc>
          <w:tcPr>
            <w:tcW w:w="2410" w:type="dxa"/>
            <w:tcBorders>
              <w:top w:val="nil"/>
              <w:left w:val="nil"/>
              <w:bottom w:val="nil"/>
              <w:right w:val="nil"/>
            </w:tcBorders>
            <w:vAlign w:val="center"/>
          </w:tcPr>
          <w:p w14:paraId="7B3A93C6" w14:textId="222674FC" w:rsidR="00470E44" w:rsidRPr="008C60EC" w:rsidRDefault="00E41410" w:rsidP="009B1C87">
            <w:pPr>
              <w:pStyle w:val="Numbertablecolumnheading-centered"/>
            </w:pPr>
            <w:r>
              <w:t>18</w:t>
            </w:r>
          </w:p>
        </w:tc>
        <w:tc>
          <w:tcPr>
            <w:tcW w:w="2410" w:type="dxa"/>
            <w:tcBorders>
              <w:top w:val="nil"/>
              <w:left w:val="nil"/>
              <w:bottom w:val="nil"/>
              <w:right w:val="single" w:sz="4" w:space="0" w:color="auto"/>
            </w:tcBorders>
            <w:vAlign w:val="center"/>
          </w:tcPr>
          <w:p w14:paraId="114403DA" w14:textId="6AA3708A" w:rsidR="00470E44" w:rsidRPr="008C60EC" w:rsidRDefault="00E41410" w:rsidP="009B1C87">
            <w:pPr>
              <w:pStyle w:val="Numbertablecolumnheading-centered"/>
            </w:pPr>
            <w:r>
              <w:t>753,00</w:t>
            </w:r>
            <w:r w:rsidR="00470E44" w:rsidRPr="008C60EC">
              <w:t>0</w:t>
            </w:r>
          </w:p>
        </w:tc>
      </w:tr>
      <w:tr w:rsidR="00FA018D" w14:paraId="4459A19B" w14:textId="77777777" w:rsidTr="00916A16">
        <w:trPr>
          <w:trHeight w:val="288"/>
        </w:trPr>
        <w:tc>
          <w:tcPr>
            <w:tcW w:w="2263" w:type="dxa"/>
            <w:tcBorders>
              <w:top w:val="nil"/>
              <w:left w:val="single" w:sz="4" w:space="0" w:color="auto"/>
              <w:bottom w:val="nil"/>
              <w:right w:val="nil"/>
            </w:tcBorders>
          </w:tcPr>
          <w:p w14:paraId="7D010C1F" w14:textId="57C0B565" w:rsidR="00FA018D" w:rsidRPr="00BB1E87" w:rsidRDefault="00A02E1C" w:rsidP="00FA018D">
            <w:pPr>
              <w:pStyle w:val="Numbertablecolumnheading-leftaligned"/>
            </w:pPr>
            <w:r>
              <w:rPr>
                <w:rFonts w:asciiTheme="minorHAnsi" w:hAnsiTheme="minorHAnsi" w:cstheme="minorHAnsi"/>
              </w:rPr>
              <w:t xml:space="preserve">  </w:t>
            </w:r>
            <w:r w:rsidR="00FA018D" w:rsidRPr="00726273">
              <w:rPr>
                <w:rFonts w:asciiTheme="minorHAnsi" w:hAnsiTheme="minorHAnsi" w:cstheme="minorHAnsi"/>
              </w:rPr>
              <w:t>15</w:t>
            </w:r>
            <w:r w:rsidR="00514CE3">
              <w:rPr>
                <w:rFonts w:asciiTheme="minorHAnsi" w:hAnsiTheme="minorHAnsi" w:cstheme="minorHAnsi"/>
              </w:rPr>
              <w:t xml:space="preserve"> to </w:t>
            </w:r>
            <w:r w:rsidR="00FA018D" w:rsidRPr="00726273">
              <w:rPr>
                <w:rFonts w:asciiTheme="minorHAnsi" w:hAnsiTheme="minorHAnsi" w:cstheme="minorHAnsi"/>
              </w:rPr>
              <w:t xml:space="preserve">44 years </w:t>
            </w:r>
          </w:p>
        </w:tc>
        <w:tc>
          <w:tcPr>
            <w:tcW w:w="2410" w:type="dxa"/>
            <w:tcBorders>
              <w:top w:val="nil"/>
              <w:left w:val="nil"/>
              <w:bottom w:val="nil"/>
              <w:right w:val="nil"/>
            </w:tcBorders>
            <w:vAlign w:val="center"/>
          </w:tcPr>
          <w:p w14:paraId="2C3AFDB8" w14:textId="3F3A494B" w:rsidR="00FA018D" w:rsidRPr="008C60EC" w:rsidRDefault="00FA018D" w:rsidP="00FA018D">
            <w:pPr>
              <w:pStyle w:val="Numbertablecolumnheading-centered"/>
            </w:pPr>
            <w:r>
              <w:t>12</w:t>
            </w:r>
          </w:p>
        </w:tc>
        <w:tc>
          <w:tcPr>
            <w:tcW w:w="2410" w:type="dxa"/>
            <w:tcBorders>
              <w:top w:val="nil"/>
              <w:left w:val="nil"/>
              <w:bottom w:val="nil"/>
              <w:right w:val="single" w:sz="4" w:space="0" w:color="auto"/>
            </w:tcBorders>
            <w:vAlign w:val="center"/>
          </w:tcPr>
          <w:p w14:paraId="6E244A71" w14:textId="722B7578" w:rsidR="00FA018D" w:rsidRPr="008C60EC" w:rsidRDefault="00FA018D" w:rsidP="00FA018D">
            <w:pPr>
              <w:pStyle w:val="Numbertablecolumnheading-centered"/>
            </w:pPr>
            <w:r>
              <w:t>254,00</w:t>
            </w:r>
            <w:r w:rsidRPr="008C60EC">
              <w:t>0</w:t>
            </w:r>
          </w:p>
        </w:tc>
      </w:tr>
      <w:tr w:rsidR="00FA018D" w14:paraId="1AE95888" w14:textId="77777777" w:rsidTr="00916A16">
        <w:trPr>
          <w:trHeight w:val="288"/>
        </w:trPr>
        <w:tc>
          <w:tcPr>
            <w:tcW w:w="2263" w:type="dxa"/>
            <w:tcBorders>
              <w:top w:val="nil"/>
              <w:left w:val="single" w:sz="4" w:space="0" w:color="auto"/>
              <w:bottom w:val="nil"/>
              <w:right w:val="nil"/>
            </w:tcBorders>
          </w:tcPr>
          <w:p w14:paraId="1A9CD0E6" w14:textId="16FBD6A2" w:rsidR="00FA018D" w:rsidRDefault="00A02E1C" w:rsidP="00FA018D">
            <w:pPr>
              <w:pStyle w:val="Numbertablecolumnheading-leftaligned"/>
            </w:pPr>
            <w:r>
              <w:rPr>
                <w:rFonts w:asciiTheme="minorHAnsi" w:hAnsiTheme="minorHAnsi" w:cstheme="minorHAnsi"/>
              </w:rPr>
              <w:t xml:space="preserve">  </w:t>
            </w:r>
            <w:r w:rsidR="00FA018D" w:rsidRPr="00726273">
              <w:rPr>
                <w:rFonts w:asciiTheme="minorHAnsi" w:hAnsiTheme="minorHAnsi" w:cstheme="minorHAnsi"/>
              </w:rPr>
              <w:t>45</w:t>
            </w:r>
            <w:r w:rsidR="00514CE3">
              <w:rPr>
                <w:rFonts w:asciiTheme="minorHAnsi" w:hAnsiTheme="minorHAnsi" w:cstheme="minorHAnsi"/>
              </w:rPr>
              <w:t xml:space="preserve"> to </w:t>
            </w:r>
            <w:r w:rsidR="00FA018D" w:rsidRPr="00726273">
              <w:rPr>
                <w:rFonts w:asciiTheme="minorHAnsi" w:hAnsiTheme="minorHAnsi" w:cstheme="minorHAnsi"/>
              </w:rPr>
              <w:t xml:space="preserve">64 years </w:t>
            </w:r>
          </w:p>
        </w:tc>
        <w:tc>
          <w:tcPr>
            <w:tcW w:w="2410" w:type="dxa"/>
            <w:tcBorders>
              <w:top w:val="nil"/>
              <w:left w:val="nil"/>
              <w:bottom w:val="nil"/>
              <w:right w:val="nil"/>
            </w:tcBorders>
            <w:vAlign w:val="center"/>
          </w:tcPr>
          <w:p w14:paraId="0D06D8EE" w14:textId="290E133C" w:rsidR="00FA018D" w:rsidRPr="008C60EC" w:rsidRDefault="00FA018D" w:rsidP="00FA018D">
            <w:pPr>
              <w:pStyle w:val="Numbertablecolumnheading-centered"/>
            </w:pPr>
            <w:r>
              <w:t>17</w:t>
            </w:r>
          </w:p>
        </w:tc>
        <w:tc>
          <w:tcPr>
            <w:tcW w:w="2410" w:type="dxa"/>
            <w:tcBorders>
              <w:top w:val="nil"/>
              <w:left w:val="nil"/>
              <w:bottom w:val="nil"/>
              <w:right w:val="single" w:sz="4" w:space="0" w:color="auto"/>
            </w:tcBorders>
            <w:vAlign w:val="center"/>
          </w:tcPr>
          <w:p w14:paraId="5ABCDFFA" w14:textId="3A8324C8" w:rsidR="00FA018D" w:rsidRPr="008C60EC" w:rsidRDefault="00FA018D" w:rsidP="00FA018D">
            <w:pPr>
              <w:pStyle w:val="Numbertablecolumnheading-centered"/>
            </w:pPr>
            <w:r>
              <w:t>216,000</w:t>
            </w:r>
          </w:p>
        </w:tc>
      </w:tr>
      <w:tr w:rsidR="00FA018D" w14:paraId="49F149BB" w14:textId="77777777" w:rsidTr="00916A16">
        <w:trPr>
          <w:trHeight w:val="288"/>
        </w:trPr>
        <w:tc>
          <w:tcPr>
            <w:tcW w:w="2263" w:type="dxa"/>
            <w:tcBorders>
              <w:top w:val="nil"/>
              <w:left w:val="single" w:sz="4" w:space="0" w:color="auto"/>
              <w:bottom w:val="nil"/>
              <w:right w:val="nil"/>
            </w:tcBorders>
          </w:tcPr>
          <w:p w14:paraId="04F623AA" w14:textId="1B5BE903" w:rsidR="00FA018D" w:rsidRDefault="00A02E1C" w:rsidP="00FA018D">
            <w:pPr>
              <w:pStyle w:val="Numbertablecolumnheading-leftaligned"/>
            </w:pPr>
            <w:r>
              <w:rPr>
                <w:rFonts w:asciiTheme="minorHAnsi" w:hAnsiTheme="minorHAnsi" w:cstheme="minorHAnsi"/>
              </w:rPr>
              <w:t xml:space="preserve">  </w:t>
            </w:r>
            <w:r w:rsidR="00FA018D" w:rsidRPr="00726273">
              <w:rPr>
                <w:rFonts w:asciiTheme="minorHAnsi" w:hAnsiTheme="minorHAnsi" w:cstheme="minorHAnsi"/>
              </w:rPr>
              <w:t xml:space="preserve">65+ years </w:t>
            </w:r>
          </w:p>
        </w:tc>
        <w:tc>
          <w:tcPr>
            <w:tcW w:w="2410" w:type="dxa"/>
            <w:tcBorders>
              <w:top w:val="nil"/>
              <w:left w:val="nil"/>
              <w:bottom w:val="nil"/>
              <w:right w:val="nil"/>
            </w:tcBorders>
            <w:vAlign w:val="center"/>
          </w:tcPr>
          <w:p w14:paraId="71C2E475" w14:textId="7203465E" w:rsidR="00FA018D" w:rsidRPr="008C60EC" w:rsidRDefault="00FA018D" w:rsidP="00FA018D">
            <w:pPr>
              <w:pStyle w:val="Numbertablecolumnheading-centered"/>
            </w:pPr>
            <w:r>
              <w:t>35</w:t>
            </w:r>
          </w:p>
        </w:tc>
        <w:tc>
          <w:tcPr>
            <w:tcW w:w="2410" w:type="dxa"/>
            <w:tcBorders>
              <w:top w:val="nil"/>
              <w:left w:val="nil"/>
              <w:bottom w:val="nil"/>
              <w:right w:val="single" w:sz="4" w:space="0" w:color="auto"/>
            </w:tcBorders>
            <w:vAlign w:val="center"/>
          </w:tcPr>
          <w:p w14:paraId="5CC34314" w14:textId="76BF9213" w:rsidR="00FA018D" w:rsidRPr="008C60EC" w:rsidRDefault="00FA018D" w:rsidP="00FA018D">
            <w:pPr>
              <w:pStyle w:val="Numbertablecolumnheading-centered"/>
            </w:pPr>
            <w:r>
              <w:t>283,000</w:t>
            </w:r>
          </w:p>
        </w:tc>
      </w:tr>
      <w:tr w:rsidR="00470E44" w14:paraId="33D540A6" w14:textId="77777777" w:rsidTr="00916A16">
        <w:trPr>
          <w:trHeight w:val="288"/>
        </w:trPr>
        <w:tc>
          <w:tcPr>
            <w:tcW w:w="2263" w:type="dxa"/>
            <w:tcBorders>
              <w:top w:val="nil"/>
              <w:left w:val="single" w:sz="4" w:space="0" w:color="auto"/>
              <w:bottom w:val="single" w:sz="4" w:space="0" w:color="auto"/>
              <w:right w:val="nil"/>
            </w:tcBorders>
            <w:vAlign w:val="center"/>
          </w:tcPr>
          <w:p w14:paraId="3D9985AF" w14:textId="44EAF5FB" w:rsidR="00470E44" w:rsidRPr="00BB1E87" w:rsidRDefault="002A07AD" w:rsidP="009B1C87">
            <w:pPr>
              <w:pStyle w:val="Numbertablecolumnheading-leftaligned"/>
            </w:pPr>
            <w:r>
              <w:t>Total</w:t>
            </w:r>
          </w:p>
        </w:tc>
        <w:tc>
          <w:tcPr>
            <w:tcW w:w="2410" w:type="dxa"/>
            <w:tcBorders>
              <w:top w:val="nil"/>
              <w:left w:val="nil"/>
              <w:bottom w:val="single" w:sz="4" w:space="0" w:color="auto"/>
              <w:right w:val="nil"/>
            </w:tcBorders>
            <w:vAlign w:val="center"/>
          </w:tcPr>
          <w:p w14:paraId="45AA6443" w14:textId="210B12BD" w:rsidR="00470E44" w:rsidRPr="008C60EC" w:rsidRDefault="00E41410" w:rsidP="009B1C87">
            <w:pPr>
              <w:pStyle w:val="Numbertablecolumnheading-centered"/>
            </w:pPr>
            <w:r>
              <w:t>17</w:t>
            </w:r>
          </w:p>
        </w:tc>
        <w:tc>
          <w:tcPr>
            <w:tcW w:w="2410" w:type="dxa"/>
            <w:tcBorders>
              <w:top w:val="nil"/>
              <w:left w:val="nil"/>
              <w:bottom w:val="single" w:sz="4" w:space="0" w:color="auto"/>
              <w:right w:val="single" w:sz="4" w:space="0" w:color="auto"/>
            </w:tcBorders>
            <w:vAlign w:val="center"/>
          </w:tcPr>
          <w:p w14:paraId="34D54870" w14:textId="4855A6F1" w:rsidR="00470E44" w:rsidRPr="008C60EC" w:rsidRDefault="00FD4018" w:rsidP="009B1C87">
            <w:pPr>
              <w:pStyle w:val="Numbertablecolumnheading-centered"/>
            </w:pPr>
            <w:r>
              <w:t>851,00</w:t>
            </w:r>
            <w:r w:rsidR="00470E44" w:rsidRPr="008C60EC">
              <w:t>0</w:t>
            </w:r>
          </w:p>
        </w:tc>
      </w:tr>
      <w:tr w:rsidR="0012153C" w14:paraId="081CB1F8" w14:textId="77777777" w:rsidTr="00916A16">
        <w:trPr>
          <w:trHeight w:val="288"/>
        </w:trPr>
        <w:tc>
          <w:tcPr>
            <w:tcW w:w="2263" w:type="dxa"/>
            <w:tcBorders>
              <w:top w:val="single" w:sz="4" w:space="0" w:color="auto"/>
              <w:left w:val="single" w:sz="4" w:space="0" w:color="auto"/>
              <w:right w:val="nil"/>
            </w:tcBorders>
            <w:vAlign w:val="center"/>
          </w:tcPr>
          <w:p w14:paraId="7C4ADEFE" w14:textId="600D9DBD" w:rsidR="0012153C" w:rsidRDefault="0012153C" w:rsidP="009B1C87">
            <w:pPr>
              <w:pStyle w:val="Numbertablecolumnheading-leftaligned"/>
            </w:pPr>
            <w:r w:rsidRPr="4A07F070">
              <w:rPr>
                <w:b/>
              </w:rPr>
              <w:t>Source</w:t>
            </w:r>
            <w:r>
              <w:t>: Stats NZ</w:t>
            </w:r>
          </w:p>
        </w:tc>
        <w:tc>
          <w:tcPr>
            <w:tcW w:w="2410" w:type="dxa"/>
            <w:tcBorders>
              <w:top w:val="single" w:sz="4" w:space="0" w:color="auto"/>
              <w:left w:val="nil"/>
              <w:right w:val="nil"/>
            </w:tcBorders>
            <w:vAlign w:val="center"/>
          </w:tcPr>
          <w:p w14:paraId="5F59A7CA" w14:textId="77777777" w:rsidR="0012153C" w:rsidRDefault="0012153C" w:rsidP="009B1C87">
            <w:pPr>
              <w:pStyle w:val="Numbertablecolumnheading-centered"/>
            </w:pPr>
          </w:p>
        </w:tc>
        <w:tc>
          <w:tcPr>
            <w:tcW w:w="2410" w:type="dxa"/>
            <w:tcBorders>
              <w:top w:val="single" w:sz="4" w:space="0" w:color="auto"/>
              <w:left w:val="nil"/>
              <w:right w:val="single" w:sz="4" w:space="0" w:color="auto"/>
            </w:tcBorders>
            <w:vAlign w:val="center"/>
          </w:tcPr>
          <w:p w14:paraId="0D86D16B" w14:textId="77777777" w:rsidR="0012153C" w:rsidRDefault="0012153C" w:rsidP="009B1C87">
            <w:pPr>
              <w:pStyle w:val="Numbertablecolumnheading-centered"/>
            </w:pPr>
          </w:p>
        </w:tc>
      </w:tr>
    </w:tbl>
    <w:p w14:paraId="4C547D7C" w14:textId="15E46C87" w:rsidR="002C0985" w:rsidRDefault="66858E89" w:rsidP="0045440B">
      <w:pPr>
        <w:spacing w:before="240"/>
      </w:pPr>
      <w:r w:rsidRPr="3524BD2A">
        <w:t xml:space="preserve">A more detailed 10-year </w:t>
      </w:r>
      <w:r w:rsidR="096D1454" w:rsidRPr="3524BD2A">
        <w:t>age group</w:t>
      </w:r>
      <w:r w:rsidRPr="3524BD2A">
        <w:t xml:space="preserve"> breakdown</w:t>
      </w:r>
      <w:r w:rsidR="0B111398" w:rsidRPr="3524BD2A">
        <w:t xml:space="preserve"> (table 2)</w:t>
      </w:r>
      <w:r w:rsidRPr="3524BD2A">
        <w:t xml:space="preserve"> shows that disability prevalence increase</w:t>
      </w:r>
      <w:r w:rsidR="536CD848" w:rsidRPr="3524BD2A">
        <w:t>d</w:t>
      </w:r>
      <w:r w:rsidRPr="3524BD2A">
        <w:t xml:space="preserve"> more steeply after 50 years of age.</w:t>
      </w:r>
      <w:r w:rsidR="488496CB" w:rsidRPr="3524BD2A">
        <w:t xml:space="preserve"> </w:t>
      </w:r>
      <w:r w:rsidRPr="3524BD2A">
        <w:t xml:space="preserve">The </w:t>
      </w:r>
      <w:r w:rsidR="1E2C5138" w:rsidRPr="3524BD2A">
        <w:t xml:space="preserve">disability </w:t>
      </w:r>
      <w:r w:rsidRPr="3524BD2A">
        <w:t>rate by age remain</w:t>
      </w:r>
      <w:r w:rsidR="3F079350" w:rsidRPr="3524BD2A">
        <w:t>ed</w:t>
      </w:r>
      <w:r w:rsidRPr="3524BD2A">
        <w:t xml:space="preserve"> below the national rate of 17 percent until the 50 to 59-year </w:t>
      </w:r>
      <w:r w:rsidR="096D1454" w:rsidRPr="3524BD2A">
        <w:t>age group</w:t>
      </w:r>
      <w:r w:rsidRPr="3524BD2A">
        <w:t>.</w:t>
      </w:r>
      <w:r w:rsidR="488496CB" w:rsidRPr="3524BD2A">
        <w:t xml:space="preserve"> </w:t>
      </w:r>
      <w:r w:rsidRPr="3524BD2A">
        <w:t xml:space="preserve">From </w:t>
      </w:r>
      <w:r w:rsidR="658219B8" w:rsidRPr="3524BD2A">
        <w:t>5</w:t>
      </w:r>
      <w:r w:rsidR="0016C534" w:rsidRPr="3524BD2A">
        <w:t>0</w:t>
      </w:r>
      <w:r w:rsidR="1DE7DED2" w:rsidRPr="3524BD2A">
        <w:t xml:space="preserve"> years</w:t>
      </w:r>
      <w:r w:rsidRPr="3524BD2A">
        <w:t>, the rate climb</w:t>
      </w:r>
      <w:r w:rsidR="3F079350" w:rsidRPr="3524BD2A">
        <w:t>ed</w:t>
      </w:r>
      <w:r w:rsidRPr="3524BD2A">
        <w:t xml:space="preserve"> with increasing steepness until nearly one in three people aged 70 to 79 years </w:t>
      </w:r>
      <w:r w:rsidR="3F079350" w:rsidRPr="3524BD2A">
        <w:t xml:space="preserve">were </w:t>
      </w:r>
      <w:r w:rsidRPr="3524BD2A">
        <w:t>counted as disabled, and over half of people aged 80 or over.</w:t>
      </w:r>
      <w:r w:rsidR="488496CB" w:rsidRPr="3524BD2A">
        <w:t xml:space="preserve"> </w:t>
      </w:r>
    </w:p>
    <w:p w14:paraId="605EDA82" w14:textId="4560A9FD" w:rsidR="002C0985" w:rsidRPr="00E6628C" w:rsidRDefault="002C0985" w:rsidP="00897777">
      <w:pPr>
        <w:pStyle w:val="Figureandtablenumbers"/>
        <w:spacing w:before="0"/>
      </w:pPr>
      <w:r>
        <w:t xml:space="preserve">Table </w:t>
      </w:r>
      <w:r w:rsidR="0045440B">
        <w:t>2</w:t>
      </w:r>
    </w:p>
    <w:p w14:paraId="31F18C9D" w14:textId="73473322" w:rsidR="002C0985" w:rsidRPr="000275D8" w:rsidRDefault="0045440B" w:rsidP="002C0985">
      <w:pPr>
        <w:pStyle w:val="Tabletitle-forhiding"/>
      </w:pPr>
      <w:bookmarkStart w:id="82" w:name="_Toc190426271"/>
      <w:r>
        <w:t>2</w:t>
      </w:r>
      <w:r w:rsidR="002C0985">
        <w:t xml:space="preserve"> Disability prevalence by </w:t>
      </w:r>
      <w:r w:rsidR="009C5B1E">
        <w:t>10-year age groups</w:t>
      </w:r>
      <w:bookmarkEnd w:id="82"/>
    </w:p>
    <w:tbl>
      <w:tblPr>
        <w:tblW w:w="7083"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410"/>
        <w:gridCol w:w="2410"/>
      </w:tblGrid>
      <w:tr w:rsidR="0045440B" w14:paraId="3462E8AD" w14:textId="77777777" w:rsidTr="009B1C87">
        <w:trPr>
          <w:trHeight w:val="420"/>
        </w:trPr>
        <w:tc>
          <w:tcPr>
            <w:tcW w:w="7083" w:type="dxa"/>
            <w:gridSpan w:val="3"/>
            <w:tcBorders>
              <w:left w:val="single" w:sz="4" w:space="0" w:color="auto"/>
              <w:right w:val="single" w:sz="4" w:space="0" w:color="auto"/>
            </w:tcBorders>
            <w:vAlign w:val="center"/>
          </w:tcPr>
          <w:p w14:paraId="7D655B0C" w14:textId="6E95ADD5" w:rsidR="0045440B" w:rsidRDefault="0045440B" w:rsidP="0045440B">
            <w:pPr>
              <w:pStyle w:val="Tabletitle1"/>
            </w:pPr>
            <w:r>
              <w:t>Disability prevalence by 10-year age groups</w:t>
            </w:r>
          </w:p>
        </w:tc>
      </w:tr>
      <w:tr w:rsidR="002C0985" w14:paraId="00F9ABE3" w14:textId="77777777" w:rsidTr="00233B4E">
        <w:trPr>
          <w:trHeight w:val="420"/>
        </w:trPr>
        <w:tc>
          <w:tcPr>
            <w:tcW w:w="2263" w:type="dxa"/>
            <w:tcBorders>
              <w:left w:val="single" w:sz="4" w:space="0" w:color="auto"/>
              <w:bottom w:val="single" w:sz="4" w:space="0" w:color="auto"/>
            </w:tcBorders>
            <w:vAlign w:val="center"/>
          </w:tcPr>
          <w:p w14:paraId="1AAC1F48" w14:textId="77777777" w:rsidR="002C0985" w:rsidRPr="004A691B" w:rsidRDefault="002C0985" w:rsidP="009B1C87">
            <w:pPr>
              <w:pStyle w:val="Numbertablecolumnheading-leftaligned"/>
            </w:pPr>
            <w:r>
              <w:t>Age group</w:t>
            </w:r>
          </w:p>
        </w:tc>
        <w:tc>
          <w:tcPr>
            <w:tcW w:w="2410" w:type="dxa"/>
            <w:tcBorders>
              <w:bottom w:val="single" w:sz="4" w:space="0" w:color="auto"/>
            </w:tcBorders>
            <w:vAlign w:val="center"/>
          </w:tcPr>
          <w:p w14:paraId="5838C221" w14:textId="77777777" w:rsidR="002C0985" w:rsidRPr="00B40B92" w:rsidRDefault="002C0985" w:rsidP="009B1C87">
            <w:pPr>
              <w:pStyle w:val="Numbertablecolumnheading-centered"/>
            </w:pPr>
            <w:r>
              <w:t>Disability rate (%)</w:t>
            </w:r>
          </w:p>
        </w:tc>
        <w:tc>
          <w:tcPr>
            <w:tcW w:w="2410" w:type="dxa"/>
            <w:tcBorders>
              <w:bottom w:val="single" w:sz="4" w:space="0" w:color="auto"/>
              <w:right w:val="single" w:sz="4" w:space="0" w:color="auto"/>
            </w:tcBorders>
            <w:vAlign w:val="center"/>
          </w:tcPr>
          <w:p w14:paraId="147C55F1" w14:textId="77777777" w:rsidR="002C0985" w:rsidRPr="00E409C9" w:rsidRDefault="002C0985" w:rsidP="009B1C87">
            <w:pPr>
              <w:pStyle w:val="Numbertablecolumnheading-centered"/>
            </w:pPr>
            <w:r>
              <w:t>Number of disabled people</w:t>
            </w:r>
          </w:p>
        </w:tc>
      </w:tr>
      <w:tr w:rsidR="00233B4E" w14:paraId="31638951" w14:textId="77777777" w:rsidTr="00233B4E">
        <w:trPr>
          <w:trHeight w:val="142"/>
        </w:trPr>
        <w:tc>
          <w:tcPr>
            <w:tcW w:w="2263" w:type="dxa"/>
            <w:tcBorders>
              <w:top w:val="single" w:sz="4" w:space="0" w:color="auto"/>
              <w:left w:val="single" w:sz="4" w:space="0" w:color="auto"/>
              <w:bottom w:val="nil"/>
              <w:right w:val="nil"/>
            </w:tcBorders>
            <w:vAlign w:val="center"/>
          </w:tcPr>
          <w:p w14:paraId="0543D2D3" w14:textId="240A4962" w:rsidR="00785533" w:rsidRDefault="00785533" w:rsidP="00785533">
            <w:pPr>
              <w:pStyle w:val="Numbertablecolumnheading-leftaligned"/>
            </w:pPr>
            <w:r w:rsidRPr="00726273">
              <w:rPr>
                <w:rFonts w:asciiTheme="minorHAnsi" w:hAnsiTheme="minorHAnsi" w:cstheme="minorHAnsi"/>
              </w:rPr>
              <w:t>0</w:t>
            </w:r>
            <w:r w:rsidR="00514CE3">
              <w:rPr>
                <w:rFonts w:asciiTheme="minorHAnsi" w:hAnsiTheme="minorHAnsi" w:cstheme="minorHAnsi"/>
              </w:rPr>
              <w:t xml:space="preserve"> to </w:t>
            </w:r>
            <w:r w:rsidRPr="00726273">
              <w:rPr>
                <w:rFonts w:asciiTheme="minorHAnsi" w:hAnsiTheme="minorHAnsi" w:cstheme="minorHAnsi"/>
              </w:rPr>
              <w:t xml:space="preserve">9 years </w:t>
            </w:r>
          </w:p>
        </w:tc>
        <w:tc>
          <w:tcPr>
            <w:tcW w:w="2410" w:type="dxa"/>
            <w:tcBorders>
              <w:top w:val="single" w:sz="4" w:space="0" w:color="auto"/>
              <w:left w:val="nil"/>
              <w:bottom w:val="nil"/>
              <w:right w:val="nil"/>
            </w:tcBorders>
            <w:vAlign w:val="center"/>
          </w:tcPr>
          <w:p w14:paraId="15FB9457" w14:textId="1D9A3AA3" w:rsidR="00785533" w:rsidRPr="00676A28" w:rsidRDefault="00785533" w:rsidP="00785533">
            <w:pPr>
              <w:pStyle w:val="Numbertablecolumnheading-centered"/>
            </w:pPr>
            <w:r w:rsidRPr="00726273">
              <w:rPr>
                <w:rFonts w:asciiTheme="minorHAnsi" w:hAnsiTheme="minorHAnsi" w:cstheme="minorHAnsi"/>
              </w:rPr>
              <w:t>9</w:t>
            </w:r>
          </w:p>
        </w:tc>
        <w:tc>
          <w:tcPr>
            <w:tcW w:w="2410" w:type="dxa"/>
            <w:tcBorders>
              <w:top w:val="single" w:sz="4" w:space="0" w:color="auto"/>
              <w:left w:val="nil"/>
              <w:bottom w:val="nil"/>
              <w:right w:val="single" w:sz="4" w:space="0" w:color="auto"/>
            </w:tcBorders>
            <w:vAlign w:val="center"/>
          </w:tcPr>
          <w:p w14:paraId="6F76889B" w14:textId="44E46A62" w:rsidR="00785533" w:rsidRPr="00676A28" w:rsidRDefault="00785533" w:rsidP="00785533">
            <w:pPr>
              <w:pStyle w:val="Numbertablecolumnheading-centered"/>
            </w:pPr>
            <w:r w:rsidRPr="00726273">
              <w:rPr>
                <w:rFonts w:asciiTheme="minorHAnsi" w:hAnsiTheme="minorHAnsi" w:cstheme="minorHAnsi"/>
              </w:rPr>
              <w:t>55,000</w:t>
            </w:r>
          </w:p>
        </w:tc>
      </w:tr>
      <w:tr w:rsidR="00233B4E" w14:paraId="0EFEE2E0" w14:textId="77777777" w:rsidTr="00233B4E">
        <w:trPr>
          <w:trHeight w:val="288"/>
        </w:trPr>
        <w:tc>
          <w:tcPr>
            <w:tcW w:w="2263" w:type="dxa"/>
            <w:tcBorders>
              <w:top w:val="nil"/>
              <w:left w:val="single" w:sz="4" w:space="0" w:color="auto"/>
              <w:bottom w:val="nil"/>
              <w:right w:val="nil"/>
            </w:tcBorders>
            <w:vAlign w:val="center"/>
          </w:tcPr>
          <w:p w14:paraId="5297C0C4" w14:textId="39AE0440" w:rsidR="00785533" w:rsidRPr="00E409C9" w:rsidRDefault="00785533" w:rsidP="00785533">
            <w:pPr>
              <w:pStyle w:val="Numbertablecolumnheading-leftaligned"/>
            </w:pPr>
            <w:r w:rsidRPr="00726273">
              <w:rPr>
                <w:rFonts w:asciiTheme="minorHAnsi" w:hAnsiTheme="minorHAnsi" w:cstheme="minorHAnsi"/>
              </w:rPr>
              <w:t>10</w:t>
            </w:r>
            <w:r w:rsidR="00514CE3">
              <w:rPr>
                <w:rFonts w:asciiTheme="minorHAnsi" w:hAnsiTheme="minorHAnsi" w:cstheme="minorHAnsi"/>
              </w:rPr>
              <w:t xml:space="preserve"> to </w:t>
            </w:r>
            <w:r w:rsidRPr="00726273">
              <w:rPr>
                <w:rFonts w:asciiTheme="minorHAnsi" w:hAnsiTheme="minorHAnsi" w:cstheme="minorHAnsi"/>
              </w:rPr>
              <w:t>19 years</w:t>
            </w:r>
          </w:p>
        </w:tc>
        <w:tc>
          <w:tcPr>
            <w:tcW w:w="2410" w:type="dxa"/>
            <w:tcBorders>
              <w:top w:val="nil"/>
              <w:left w:val="nil"/>
              <w:bottom w:val="nil"/>
              <w:right w:val="nil"/>
            </w:tcBorders>
            <w:vAlign w:val="center"/>
          </w:tcPr>
          <w:p w14:paraId="22CAFEF7" w14:textId="5D97E797" w:rsidR="00785533" w:rsidRPr="008C60EC" w:rsidRDefault="00785533" w:rsidP="00785533">
            <w:pPr>
              <w:pStyle w:val="Numbertablecolumnheading-centered"/>
            </w:pPr>
            <w:r w:rsidRPr="00726273">
              <w:rPr>
                <w:rFonts w:asciiTheme="minorHAnsi" w:hAnsiTheme="minorHAnsi" w:cstheme="minorHAnsi"/>
              </w:rPr>
              <w:t>13</w:t>
            </w:r>
          </w:p>
        </w:tc>
        <w:tc>
          <w:tcPr>
            <w:tcW w:w="2410" w:type="dxa"/>
            <w:tcBorders>
              <w:top w:val="nil"/>
              <w:left w:val="nil"/>
              <w:bottom w:val="nil"/>
              <w:right w:val="single" w:sz="4" w:space="0" w:color="auto"/>
            </w:tcBorders>
            <w:vAlign w:val="center"/>
          </w:tcPr>
          <w:p w14:paraId="60A40273" w14:textId="5A05201C" w:rsidR="00785533" w:rsidRPr="008C60EC" w:rsidRDefault="00785533" w:rsidP="00785533">
            <w:pPr>
              <w:pStyle w:val="Numbertablecolumnheading-centered"/>
            </w:pPr>
            <w:r w:rsidRPr="00726273">
              <w:rPr>
                <w:rFonts w:asciiTheme="minorHAnsi" w:hAnsiTheme="minorHAnsi" w:cstheme="minorHAnsi"/>
              </w:rPr>
              <w:t>86,000</w:t>
            </w:r>
          </w:p>
        </w:tc>
      </w:tr>
      <w:tr w:rsidR="00233B4E" w14:paraId="1E1C9699" w14:textId="77777777" w:rsidTr="00233B4E">
        <w:trPr>
          <w:trHeight w:val="288"/>
        </w:trPr>
        <w:tc>
          <w:tcPr>
            <w:tcW w:w="2263" w:type="dxa"/>
            <w:tcBorders>
              <w:top w:val="nil"/>
              <w:left w:val="single" w:sz="4" w:space="0" w:color="auto"/>
              <w:bottom w:val="nil"/>
              <w:right w:val="nil"/>
            </w:tcBorders>
            <w:vAlign w:val="center"/>
          </w:tcPr>
          <w:p w14:paraId="635270D5" w14:textId="63E5E84F" w:rsidR="00785533" w:rsidRPr="00BB1E87" w:rsidRDefault="00785533" w:rsidP="00785533">
            <w:pPr>
              <w:pStyle w:val="Numbertablecolumnheading-leftaligned"/>
            </w:pPr>
            <w:r w:rsidRPr="00726273">
              <w:rPr>
                <w:rFonts w:asciiTheme="minorHAnsi" w:hAnsiTheme="minorHAnsi" w:cstheme="minorHAnsi"/>
              </w:rPr>
              <w:t>20</w:t>
            </w:r>
            <w:r w:rsidR="00514CE3">
              <w:rPr>
                <w:rFonts w:asciiTheme="minorHAnsi" w:hAnsiTheme="minorHAnsi" w:cstheme="minorHAnsi"/>
              </w:rPr>
              <w:t xml:space="preserve"> to </w:t>
            </w:r>
            <w:r w:rsidRPr="00726273">
              <w:rPr>
                <w:rFonts w:asciiTheme="minorHAnsi" w:hAnsiTheme="minorHAnsi" w:cstheme="minorHAnsi"/>
              </w:rPr>
              <w:t xml:space="preserve">29 years </w:t>
            </w:r>
          </w:p>
        </w:tc>
        <w:tc>
          <w:tcPr>
            <w:tcW w:w="2410" w:type="dxa"/>
            <w:tcBorders>
              <w:top w:val="nil"/>
              <w:left w:val="nil"/>
              <w:bottom w:val="nil"/>
              <w:right w:val="nil"/>
            </w:tcBorders>
            <w:vAlign w:val="center"/>
          </w:tcPr>
          <w:p w14:paraId="6CBF83D4" w14:textId="36636A6C" w:rsidR="00785533" w:rsidRPr="008C60EC" w:rsidRDefault="00785533" w:rsidP="00785533">
            <w:pPr>
              <w:pStyle w:val="Numbertablecolumnheading-centered"/>
            </w:pPr>
            <w:r w:rsidRPr="00726273">
              <w:rPr>
                <w:rFonts w:asciiTheme="minorHAnsi" w:hAnsiTheme="minorHAnsi" w:cstheme="minorHAnsi"/>
              </w:rPr>
              <w:t>14</w:t>
            </w:r>
          </w:p>
        </w:tc>
        <w:tc>
          <w:tcPr>
            <w:tcW w:w="2410" w:type="dxa"/>
            <w:tcBorders>
              <w:top w:val="nil"/>
              <w:left w:val="nil"/>
              <w:bottom w:val="nil"/>
              <w:right w:val="single" w:sz="4" w:space="0" w:color="auto"/>
            </w:tcBorders>
            <w:vAlign w:val="center"/>
          </w:tcPr>
          <w:p w14:paraId="0A313DCD" w14:textId="5075CC33" w:rsidR="00785533" w:rsidRPr="008C60EC" w:rsidRDefault="00785533" w:rsidP="00785533">
            <w:pPr>
              <w:pStyle w:val="Numbertablecolumnheading-centered"/>
            </w:pPr>
            <w:r w:rsidRPr="00726273">
              <w:rPr>
                <w:rFonts w:asciiTheme="minorHAnsi" w:hAnsiTheme="minorHAnsi" w:cstheme="minorHAnsi"/>
              </w:rPr>
              <w:t>96,000</w:t>
            </w:r>
          </w:p>
        </w:tc>
      </w:tr>
      <w:tr w:rsidR="00785533" w14:paraId="274A305B" w14:textId="77777777" w:rsidTr="00233B4E">
        <w:trPr>
          <w:trHeight w:val="288"/>
        </w:trPr>
        <w:tc>
          <w:tcPr>
            <w:tcW w:w="2263" w:type="dxa"/>
            <w:tcBorders>
              <w:top w:val="nil"/>
              <w:left w:val="single" w:sz="4" w:space="0" w:color="auto"/>
              <w:bottom w:val="nil"/>
              <w:right w:val="nil"/>
            </w:tcBorders>
            <w:vAlign w:val="center"/>
          </w:tcPr>
          <w:p w14:paraId="49CA3D1B" w14:textId="060E0F78" w:rsidR="00785533" w:rsidRDefault="00785533" w:rsidP="00785533">
            <w:pPr>
              <w:pStyle w:val="Numbertablecolumnheading-leftaligned"/>
            </w:pPr>
            <w:r w:rsidRPr="00726273">
              <w:rPr>
                <w:rFonts w:asciiTheme="minorHAnsi" w:hAnsiTheme="minorHAnsi" w:cstheme="minorHAnsi"/>
              </w:rPr>
              <w:t>30</w:t>
            </w:r>
            <w:r w:rsidR="00514CE3">
              <w:rPr>
                <w:rFonts w:asciiTheme="minorHAnsi" w:hAnsiTheme="minorHAnsi" w:cstheme="minorHAnsi"/>
              </w:rPr>
              <w:t xml:space="preserve"> to </w:t>
            </w:r>
            <w:r w:rsidRPr="00726273">
              <w:rPr>
                <w:rFonts w:asciiTheme="minorHAnsi" w:hAnsiTheme="minorHAnsi" w:cstheme="minorHAnsi"/>
              </w:rPr>
              <w:t xml:space="preserve">39 years </w:t>
            </w:r>
          </w:p>
        </w:tc>
        <w:tc>
          <w:tcPr>
            <w:tcW w:w="2410" w:type="dxa"/>
            <w:tcBorders>
              <w:top w:val="nil"/>
              <w:left w:val="nil"/>
              <w:bottom w:val="nil"/>
              <w:right w:val="nil"/>
            </w:tcBorders>
            <w:vAlign w:val="center"/>
          </w:tcPr>
          <w:p w14:paraId="6E970042" w14:textId="72B82FC7" w:rsidR="00785533" w:rsidRPr="008C60EC" w:rsidRDefault="00785533" w:rsidP="00785533">
            <w:pPr>
              <w:pStyle w:val="Numbertablecolumnheading-centered"/>
            </w:pPr>
            <w:r w:rsidRPr="00726273">
              <w:rPr>
                <w:rFonts w:asciiTheme="minorHAnsi" w:hAnsiTheme="minorHAnsi" w:cstheme="minorHAnsi"/>
              </w:rPr>
              <w:t>10</w:t>
            </w:r>
          </w:p>
        </w:tc>
        <w:tc>
          <w:tcPr>
            <w:tcW w:w="2410" w:type="dxa"/>
            <w:tcBorders>
              <w:top w:val="nil"/>
              <w:left w:val="nil"/>
              <w:bottom w:val="nil"/>
              <w:right w:val="single" w:sz="4" w:space="0" w:color="auto"/>
            </w:tcBorders>
            <w:vAlign w:val="center"/>
          </w:tcPr>
          <w:p w14:paraId="31F1E0CF" w14:textId="53D2BFE6" w:rsidR="00785533" w:rsidRPr="008C60EC" w:rsidRDefault="00785533" w:rsidP="00785533">
            <w:pPr>
              <w:pStyle w:val="Numbertablecolumnheading-centered"/>
            </w:pPr>
            <w:r w:rsidRPr="00726273">
              <w:rPr>
                <w:rFonts w:asciiTheme="minorHAnsi" w:hAnsiTheme="minorHAnsi" w:cstheme="minorHAnsi"/>
              </w:rPr>
              <w:t>78,000</w:t>
            </w:r>
          </w:p>
        </w:tc>
      </w:tr>
      <w:tr w:rsidR="00785533" w14:paraId="5669E78A" w14:textId="77777777" w:rsidTr="00233B4E">
        <w:trPr>
          <w:trHeight w:val="288"/>
        </w:trPr>
        <w:tc>
          <w:tcPr>
            <w:tcW w:w="2263" w:type="dxa"/>
            <w:tcBorders>
              <w:top w:val="nil"/>
              <w:left w:val="single" w:sz="4" w:space="0" w:color="auto"/>
              <w:bottom w:val="nil"/>
              <w:right w:val="nil"/>
            </w:tcBorders>
            <w:vAlign w:val="center"/>
          </w:tcPr>
          <w:p w14:paraId="642DCDA7" w14:textId="6474303B" w:rsidR="00785533" w:rsidRDefault="00785533" w:rsidP="00785533">
            <w:pPr>
              <w:pStyle w:val="Numbertablecolumnheading-leftaligned"/>
            </w:pPr>
            <w:r w:rsidRPr="00726273">
              <w:rPr>
                <w:rFonts w:asciiTheme="minorHAnsi" w:hAnsiTheme="minorHAnsi" w:cstheme="minorHAnsi"/>
              </w:rPr>
              <w:t>40</w:t>
            </w:r>
            <w:r w:rsidR="00514CE3">
              <w:rPr>
                <w:rFonts w:asciiTheme="minorHAnsi" w:hAnsiTheme="minorHAnsi" w:cstheme="minorHAnsi"/>
              </w:rPr>
              <w:t xml:space="preserve"> to </w:t>
            </w:r>
            <w:r w:rsidRPr="00726273">
              <w:rPr>
                <w:rFonts w:asciiTheme="minorHAnsi" w:hAnsiTheme="minorHAnsi" w:cstheme="minorHAnsi"/>
              </w:rPr>
              <w:t xml:space="preserve">49 years </w:t>
            </w:r>
          </w:p>
        </w:tc>
        <w:tc>
          <w:tcPr>
            <w:tcW w:w="2410" w:type="dxa"/>
            <w:tcBorders>
              <w:top w:val="nil"/>
              <w:left w:val="nil"/>
              <w:bottom w:val="nil"/>
              <w:right w:val="nil"/>
            </w:tcBorders>
            <w:vAlign w:val="center"/>
          </w:tcPr>
          <w:p w14:paraId="4C375B28" w14:textId="73FEC14F" w:rsidR="00785533" w:rsidRPr="008C60EC" w:rsidRDefault="00785533" w:rsidP="00785533">
            <w:pPr>
              <w:pStyle w:val="Numbertablecolumnheading-centered"/>
            </w:pPr>
            <w:r w:rsidRPr="00726273">
              <w:rPr>
                <w:rFonts w:asciiTheme="minorHAnsi" w:hAnsiTheme="minorHAnsi" w:cstheme="minorHAnsi"/>
              </w:rPr>
              <w:t>12</w:t>
            </w:r>
          </w:p>
        </w:tc>
        <w:tc>
          <w:tcPr>
            <w:tcW w:w="2410" w:type="dxa"/>
            <w:tcBorders>
              <w:top w:val="nil"/>
              <w:left w:val="nil"/>
              <w:bottom w:val="nil"/>
              <w:right w:val="single" w:sz="4" w:space="0" w:color="auto"/>
            </w:tcBorders>
            <w:vAlign w:val="center"/>
          </w:tcPr>
          <w:p w14:paraId="02B0DF0F" w14:textId="6A03F5E7" w:rsidR="00785533" w:rsidRPr="008C60EC" w:rsidRDefault="00785533" w:rsidP="00785533">
            <w:pPr>
              <w:pStyle w:val="Numbertablecolumnheading-centered"/>
            </w:pPr>
            <w:r w:rsidRPr="00726273">
              <w:rPr>
                <w:rFonts w:asciiTheme="minorHAnsi" w:hAnsiTheme="minorHAnsi" w:cstheme="minorHAnsi"/>
              </w:rPr>
              <w:t>75,000</w:t>
            </w:r>
          </w:p>
        </w:tc>
      </w:tr>
      <w:tr w:rsidR="00785533" w14:paraId="4A6D2128" w14:textId="77777777" w:rsidTr="00233B4E">
        <w:trPr>
          <w:trHeight w:val="288"/>
        </w:trPr>
        <w:tc>
          <w:tcPr>
            <w:tcW w:w="2263" w:type="dxa"/>
            <w:tcBorders>
              <w:top w:val="nil"/>
              <w:left w:val="single" w:sz="4" w:space="0" w:color="auto"/>
              <w:bottom w:val="nil"/>
              <w:right w:val="nil"/>
            </w:tcBorders>
            <w:vAlign w:val="center"/>
          </w:tcPr>
          <w:p w14:paraId="2362638C" w14:textId="586B25C4" w:rsidR="00785533" w:rsidRDefault="00785533" w:rsidP="00785533">
            <w:pPr>
              <w:pStyle w:val="Numbertablecolumnheading-leftaligned"/>
            </w:pPr>
            <w:r w:rsidRPr="00726273">
              <w:rPr>
                <w:rFonts w:asciiTheme="minorHAnsi" w:hAnsiTheme="minorHAnsi" w:cstheme="minorHAnsi"/>
              </w:rPr>
              <w:t>50</w:t>
            </w:r>
            <w:r w:rsidR="00514CE3">
              <w:rPr>
                <w:rFonts w:asciiTheme="minorHAnsi" w:hAnsiTheme="minorHAnsi" w:cstheme="minorHAnsi"/>
              </w:rPr>
              <w:t xml:space="preserve"> to </w:t>
            </w:r>
            <w:r w:rsidRPr="00726273">
              <w:rPr>
                <w:rFonts w:asciiTheme="minorHAnsi" w:hAnsiTheme="minorHAnsi" w:cstheme="minorHAnsi"/>
              </w:rPr>
              <w:t xml:space="preserve">59 years </w:t>
            </w:r>
          </w:p>
        </w:tc>
        <w:tc>
          <w:tcPr>
            <w:tcW w:w="2410" w:type="dxa"/>
            <w:tcBorders>
              <w:top w:val="nil"/>
              <w:left w:val="nil"/>
              <w:bottom w:val="nil"/>
              <w:right w:val="nil"/>
            </w:tcBorders>
            <w:vAlign w:val="center"/>
          </w:tcPr>
          <w:p w14:paraId="1091B752" w14:textId="0F4AFC5F" w:rsidR="00785533" w:rsidRDefault="00785533" w:rsidP="00785533">
            <w:pPr>
              <w:pStyle w:val="Numbertablecolumnheading-centered"/>
            </w:pPr>
            <w:r w:rsidRPr="00726273">
              <w:rPr>
                <w:rFonts w:asciiTheme="minorHAnsi" w:hAnsiTheme="minorHAnsi" w:cstheme="minorHAnsi"/>
              </w:rPr>
              <w:t>17</w:t>
            </w:r>
          </w:p>
        </w:tc>
        <w:tc>
          <w:tcPr>
            <w:tcW w:w="2410" w:type="dxa"/>
            <w:tcBorders>
              <w:top w:val="nil"/>
              <w:left w:val="nil"/>
              <w:bottom w:val="nil"/>
              <w:right w:val="single" w:sz="4" w:space="0" w:color="auto"/>
            </w:tcBorders>
            <w:vAlign w:val="center"/>
          </w:tcPr>
          <w:p w14:paraId="413286E0" w14:textId="34FD9D19" w:rsidR="00785533" w:rsidRDefault="00785533" w:rsidP="00785533">
            <w:pPr>
              <w:pStyle w:val="Numbertablecolumnheading-centered"/>
            </w:pPr>
            <w:r w:rsidRPr="00726273">
              <w:rPr>
                <w:rFonts w:asciiTheme="minorHAnsi" w:hAnsiTheme="minorHAnsi" w:cstheme="minorHAnsi"/>
              </w:rPr>
              <w:t>113,000</w:t>
            </w:r>
          </w:p>
        </w:tc>
      </w:tr>
      <w:tr w:rsidR="00785533" w14:paraId="718432B6" w14:textId="77777777" w:rsidTr="00233B4E">
        <w:trPr>
          <w:trHeight w:val="288"/>
        </w:trPr>
        <w:tc>
          <w:tcPr>
            <w:tcW w:w="2263" w:type="dxa"/>
            <w:tcBorders>
              <w:top w:val="nil"/>
              <w:left w:val="single" w:sz="4" w:space="0" w:color="auto"/>
              <w:bottom w:val="nil"/>
              <w:right w:val="nil"/>
            </w:tcBorders>
            <w:vAlign w:val="center"/>
          </w:tcPr>
          <w:p w14:paraId="579DD6F1" w14:textId="2194C458" w:rsidR="00785533" w:rsidRDefault="00785533" w:rsidP="00785533">
            <w:pPr>
              <w:pStyle w:val="Numbertablecolumnheading-leftaligned"/>
            </w:pPr>
            <w:r w:rsidRPr="00726273">
              <w:rPr>
                <w:rFonts w:asciiTheme="minorHAnsi" w:hAnsiTheme="minorHAnsi" w:cstheme="minorHAnsi"/>
              </w:rPr>
              <w:t>60</w:t>
            </w:r>
            <w:r w:rsidR="00514CE3">
              <w:rPr>
                <w:rFonts w:asciiTheme="minorHAnsi" w:hAnsiTheme="minorHAnsi" w:cstheme="minorHAnsi"/>
              </w:rPr>
              <w:t xml:space="preserve"> to </w:t>
            </w:r>
            <w:r w:rsidRPr="00726273">
              <w:rPr>
                <w:rFonts w:asciiTheme="minorHAnsi" w:hAnsiTheme="minorHAnsi" w:cstheme="minorHAnsi"/>
              </w:rPr>
              <w:t xml:space="preserve">69 years </w:t>
            </w:r>
          </w:p>
        </w:tc>
        <w:tc>
          <w:tcPr>
            <w:tcW w:w="2410" w:type="dxa"/>
            <w:tcBorders>
              <w:top w:val="nil"/>
              <w:left w:val="nil"/>
              <w:bottom w:val="nil"/>
              <w:right w:val="nil"/>
            </w:tcBorders>
            <w:vAlign w:val="center"/>
          </w:tcPr>
          <w:p w14:paraId="5D4BCC77" w14:textId="4AC087FA" w:rsidR="00785533" w:rsidRDefault="00785533" w:rsidP="00785533">
            <w:pPr>
              <w:pStyle w:val="Numbertablecolumnheading-centered"/>
            </w:pPr>
            <w:r w:rsidRPr="00726273">
              <w:rPr>
                <w:rFonts w:asciiTheme="minorHAnsi" w:hAnsiTheme="minorHAnsi" w:cstheme="minorHAnsi"/>
              </w:rPr>
              <w:t>23</w:t>
            </w:r>
          </w:p>
        </w:tc>
        <w:tc>
          <w:tcPr>
            <w:tcW w:w="2410" w:type="dxa"/>
            <w:tcBorders>
              <w:top w:val="nil"/>
              <w:left w:val="nil"/>
              <w:bottom w:val="nil"/>
              <w:right w:val="single" w:sz="4" w:space="0" w:color="auto"/>
            </w:tcBorders>
            <w:vAlign w:val="center"/>
          </w:tcPr>
          <w:p w14:paraId="3FEFE72B" w14:textId="00809D6E" w:rsidR="00785533" w:rsidRDefault="00785533" w:rsidP="00785533">
            <w:pPr>
              <w:pStyle w:val="Numbertablecolumnheading-centered"/>
            </w:pPr>
            <w:r w:rsidRPr="00726273">
              <w:rPr>
                <w:rFonts w:asciiTheme="minorHAnsi" w:hAnsiTheme="minorHAnsi" w:cstheme="minorHAnsi"/>
              </w:rPr>
              <w:t>133,000</w:t>
            </w:r>
          </w:p>
        </w:tc>
      </w:tr>
      <w:tr w:rsidR="00785533" w14:paraId="4D870E87" w14:textId="77777777" w:rsidTr="00233B4E">
        <w:trPr>
          <w:trHeight w:val="288"/>
        </w:trPr>
        <w:tc>
          <w:tcPr>
            <w:tcW w:w="2263" w:type="dxa"/>
            <w:tcBorders>
              <w:top w:val="nil"/>
              <w:left w:val="single" w:sz="4" w:space="0" w:color="auto"/>
              <w:bottom w:val="nil"/>
              <w:right w:val="nil"/>
            </w:tcBorders>
            <w:vAlign w:val="center"/>
          </w:tcPr>
          <w:p w14:paraId="779A6501" w14:textId="633D2C46" w:rsidR="00785533" w:rsidRDefault="00785533" w:rsidP="00785533">
            <w:pPr>
              <w:pStyle w:val="Numbertablecolumnheading-leftaligned"/>
            </w:pPr>
            <w:r w:rsidRPr="00726273">
              <w:rPr>
                <w:rFonts w:asciiTheme="minorHAnsi" w:hAnsiTheme="minorHAnsi" w:cstheme="minorHAnsi"/>
              </w:rPr>
              <w:t>70</w:t>
            </w:r>
            <w:r w:rsidR="00514CE3">
              <w:rPr>
                <w:rFonts w:asciiTheme="minorHAnsi" w:hAnsiTheme="minorHAnsi" w:cstheme="minorHAnsi"/>
              </w:rPr>
              <w:t xml:space="preserve"> to </w:t>
            </w:r>
            <w:r w:rsidRPr="00726273">
              <w:rPr>
                <w:rFonts w:asciiTheme="minorHAnsi" w:hAnsiTheme="minorHAnsi" w:cstheme="minorHAnsi"/>
              </w:rPr>
              <w:t xml:space="preserve">79 years </w:t>
            </w:r>
          </w:p>
        </w:tc>
        <w:tc>
          <w:tcPr>
            <w:tcW w:w="2410" w:type="dxa"/>
            <w:tcBorders>
              <w:top w:val="nil"/>
              <w:left w:val="nil"/>
              <w:bottom w:val="nil"/>
              <w:right w:val="nil"/>
            </w:tcBorders>
            <w:vAlign w:val="center"/>
          </w:tcPr>
          <w:p w14:paraId="7921BEFC" w14:textId="572D55E4" w:rsidR="00785533" w:rsidRDefault="00785533" w:rsidP="00785533">
            <w:pPr>
              <w:pStyle w:val="Numbertablecolumnheading-centered"/>
            </w:pPr>
            <w:r w:rsidRPr="00726273">
              <w:rPr>
                <w:rFonts w:asciiTheme="minorHAnsi" w:hAnsiTheme="minorHAnsi" w:cstheme="minorHAnsi"/>
              </w:rPr>
              <w:t>32</w:t>
            </w:r>
          </w:p>
        </w:tc>
        <w:tc>
          <w:tcPr>
            <w:tcW w:w="2410" w:type="dxa"/>
            <w:tcBorders>
              <w:top w:val="nil"/>
              <w:left w:val="nil"/>
              <w:bottom w:val="nil"/>
              <w:right w:val="single" w:sz="4" w:space="0" w:color="auto"/>
            </w:tcBorders>
            <w:vAlign w:val="center"/>
          </w:tcPr>
          <w:p w14:paraId="1EA8D1D8" w14:textId="6124342A" w:rsidR="00785533" w:rsidRDefault="00785533" w:rsidP="00785533">
            <w:pPr>
              <w:pStyle w:val="Numbertablecolumnheading-centered"/>
            </w:pPr>
            <w:r w:rsidRPr="00726273">
              <w:rPr>
                <w:rFonts w:asciiTheme="minorHAnsi" w:hAnsiTheme="minorHAnsi" w:cstheme="minorHAnsi"/>
              </w:rPr>
              <w:t>122,000</w:t>
            </w:r>
          </w:p>
        </w:tc>
      </w:tr>
      <w:tr w:rsidR="00785533" w14:paraId="54257CC6" w14:textId="77777777" w:rsidTr="00233B4E">
        <w:trPr>
          <w:trHeight w:val="288"/>
        </w:trPr>
        <w:tc>
          <w:tcPr>
            <w:tcW w:w="2263" w:type="dxa"/>
            <w:tcBorders>
              <w:top w:val="nil"/>
              <w:left w:val="single" w:sz="4" w:space="0" w:color="auto"/>
              <w:bottom w:val="nil"/>
              <w:right w:val="nil"/>
            </w:tcBorders>
            <w:vAlign w:val="center"/>
          </w:tcPr>
          <w:p w14:paraId="49120FAA" w14:textId="1B7F3587" w:rsidR="00785533" w:rsidRDefault="00785533" w:rsidP="00785533">
            <w:pPr>
              <w:pStyle w:val="Numbertablecolumnheading-leftaligned"/>
            </w:pPr>
            <w:r w:rsidRPr="00726273">
              <w:rPr>
                <w:rFonts w:asciiTheme="minorHAnsi" w:hAnsiTheme="minorHAnsi" w:cstheme="minorHAnsi"/>
              </w:rPr>
              <w:t xml:space="preserve">80+ years </w:t>
            </w:r>
          </w:p>
        </w:tc>
        <w:tc>
          <w:tcPr>
            <w:tcW w:w="2410" w:type="dxa"/>
            <w:tcBorders>
              <w:top w:val="nil"/>
              <w:left w:val="nil"/>
              <w:bottom w:val="nil"/>
              <w:right w:val="nil"/>
            </w:tcBorders>
            <w:vAlign w:val="center"/>
          </w:tcPr>
          <w:p w14:paraId="54EFCFAA" w14:textId="0144DE07" w:rsidR="00785533" w:rsidRDefault="00785533" w:rsidP="00785533">
            <w:pPr>
              <w:pStyle w:val="Numbertablecolumnheading-centered"/>
            </w:pPr>
            <w:r w:rsidRPr="00726273">
              <w:rPr>
                <w:rFonts w:asciiTheme="minorHAnsi" w:hAnsiTheme="minorHAnsi" w:cstheme="minorHAnsi"/>
              </w:rPr>
              <w:t>52</w:t>
            </w:r>
          </w:p>
        </w:tc>
        <w:tc>
          <w:tcPr>
            <w:tcW w:w="2410" w:type="dxa"/>
            <w:tcBorders>
              <w:top w:val="nil"/>
              <w:left w:val="nil"/>
              <w:bottom w:val="nil"/>
              <w:right w:val="single" w:sz="4" w:space="0" w:color="auto"/>
            </w:tcBorders>
            <w:vAlign w:val="center"/>
          </w:tcPr>
          <w:p w14:paraId="0EFE7D9C" w14:textId="44F219BB" w:rsidR="00785533" w:rsidRDefault="00785533" w:rsidP="00785533">
            <w:pPr>
              <w:pStyle w:val="Numbertablecolumnheading-centered"/>
            </w:pPr>
            <w:r w:rsidRPr="00726273">
              <w:rPr>
                <w:rFonts w:asciiTheme="minorHAnsi" w:hAnsiTheme="minorHAnsi" w:cstheme="minorHAnsi"/>
              </w:rPr>
              <w:t>92,000</w:t>
            </w:r>
          </w:p>
        </w:tc>
      </w:tr>
      <w:tr w:rsidR="00233B4E" w14:paraId="00B7E5C7" w14:textId="77777777" w:rsidTr="00233B4E">
        <w:trPr>
          <w:trHeight w:val="288"/>
        </w:trPr>
        <w:tc>
          <w:tcPr>
            <w:tcW w:w="2263" w:type="dxa"/>
            <w:tcBorders>
              <w:top w:val="nil"/>
              <w:left w:val="single" w:sz="4" w:space="0" w:color="auto"/>
              <w:bottom w:val="single" w:sz="4" w:space="0" w:color="auto"/>
              <w:right w:val="nil"/>
            </w:tcBorders>
            <w:vAlign w:val="center"/>
          </w:tcPr>
          <w:p w14:paraId="37E46F9A" w14:textId="77777777" w:rsidR="002C0985" w:rsidRPr="00BB1E87" w:rsidRDefault="002C0985" w:rsidP="009B1C87">
            <w:pPr>
              <w:pStyle w:val="Numbertablecolumnheading-leftaligned"/>
            </w:pPr>
            <w:r>
              <w:t>Total</w:t>
            </w:r>
          </w:p>
        </w:tc>
        <w:tc>
          <w:tcPr>
            <w:tcW w:w="2410" w:type="dxa"/>
            <w:tcBorders>
              <w:top w:val="nil"/>
              <w:left w:val="nil"/>
              <w:bottom w:val="single" w:sz="4" w:space="0" w:color="auto"/>
              <w:right w:val="nil"/>
            </w:tcBorders>
            <w:vAlign w:val="center"/>
          </w:tcPr>
          <w:p w14:paraId="519A48F3" w14:textId="77777777" w:rsidR="002C0985" w:rsidRPr="008C60EC" w:rsidRDefault="002C0985" w:rsidP="009B1C87">
            <w:pPr>
              <w:pStyle w:val="Numbertablecolumnheading-centered"/>
            </w:pPr>
            <w:r>
              <w:t>17</w:t>
            </w:r>
          </w:p>
        </w:tc>
        <w:tc>
          <w:tcPr>
            <w:tcW w:w="2410" w:type="dxa"/>
            <w:tcBorders>
              <w:top w:val="nil"/>
              <w:left w:val="nil"/>
              <w:bottom w:val="single" w:sz="4" w:space="0" w:color="auto"/>
              <w:right w:val="single" w:sz="4" w:space="0" w:color="auto"/>
            </w:tcBorders>
            <w:vAlign w:val="center"/>
          </w:tcPr>
          <w:p w14:paraId="26ED8299" w14:textId="77777777" w:rsidR="002C0985" w:rsidRPr="008C60EC" w:rsidRDefault="002C0985" w:rsidP="009B1C87">
            <w:pPr>
              <w:pStyle w:val="Numbertablecolumnheading-centered"/>
            </w:pPr>
            <w:r>
              <w:t>851,00</w:t>
            </w:r>
            <w:r w:rsidRPr="008C60EC">
              <w:t>0</w:t>
            </w:r>
          </w:p>
        </w:tc>
      </w:tr>
      <w:tr w:rsidR="002C0985" w14:paraId="3682B8F9" w14:textId="77777777" w:rsidTr="00233B4E">
        <w:trPr>
          <w:trHeight w:val="288"/>
        </w:trPr>
        <w:tc>
          <w:tcPr>
            <w:tcW w:w="2263" w:type="dxa"/>
            <w:tcBorders>
              <w:top w:val="single" w:sz="4" w:space="0" w:color="auto"/>
              <w:left w:val="single" w:sz="4" w:space="0" w:color="auto"/>
              <w:right w:val="nil"/>
            </w:tcBorders>
            <w:vAlign w:val="center"/>
          </w:tcPr>
          <w:p w14:paraId="29F6ADA1" w14:textId="77777777" w:rsidR="002C0985" w:rsidRDefault="002C0985" w:rsidP="009B1C87">
            <w:pPr>
              <w:pStyle w:val="Numbertablecolumnheading-leftaligned"/>
            </w:pPr>
            <w:r w:rsidRPr="4A07F070">
              <w:rPr>
                <w:b/>
              </w:rPr>
              <w:t>Source</w:t>
            </w:r>
            <w:r>
              <w:t>: Stats NZ</w:t>
            </w:r>
          </w:p>
        </w:tc>
        <w:tc>
          <w:tcPr>
            <w:tcW w:w="2410" w:type="dxa"/>
            <w:tcBorders>
              <w:top w:val="single" w:sz="4" w:space="0" w:color="auto"/>
              <w:left w:val="nil"/>
              <w:right w:val="nil"/>
            </w:tcBorders>
            <w:vAlign w:val="center"/>
          </w:tcPr>
          <w:p w14:paraId="776FC504" w14:textId="77777777" w:rsidR="002C0985" w:rsidRDefault="002C0985" w:rsidP="009B1C87">
            <w:pPr>
              <w:pStyle w:val="Numbertablecolumnheading-centered"/>
            </w:pPr>
          </w:p>
        </w:tc>
        <w:tc>
          <w:tcPr>
            <w:tcW w:w="2410" w:type="dxa"/>
            <w:tcBorders>
              <w:top w:val="single" w:sz="4" w:space="0" w:color="auto"/>
              <w:left w:val="nil"/>
              <w:right w:val="single" w:sz="4" w:space="0" w:color="auto"/>
            </w:tcBorders>
            <w:vAlign w:val="center"/>
          </w:tcPr>
          <w:p w14:paraId="15E61365" w14:textId="77777777" w:rsidR="002C0985" w:rsidRDefault="002C0985" w:rsidP="009B1C87">
            <w:pPr>
              <w:pStyle w:val="Numbertablecolumnheading-centered"/>
            </w:pPr>
          </w:p>
        </w:tc>
      </w:tr>
    </w:tbl>
    <w:p w14:paraId="318A3054" w14:textId="6321465B" w:rsidR="00F62431" w:rsidRDefault="00FA7EED" w:rsidP="00892668">
      <w:pPr>
        <w:spacing w:before="240" w:line="259" w:lineRule="auto"/>
      </w:pPr>
      <w:r w:rsidRPr="00FA7EED" w:rsidDel="00923DAF">
        <w:t>The relationship between age and disability means that o</w:t>
      </w:r>
      <w:r w:rsidRPr="00FA7EED">
        <w:t xml:space="preserve">ver half of all disabled people </w:t>
      </w:r>
      <w:r w:rsidR="007F2247">
        <w:t>were</w:t>
      </w:r>
      <w:r w:rsidR="007F2247" w:rsidRPr="00FA7EED">
        <w:t xml:space="preserve"> </w:t>
      </w:r>
      <w:r w:rsidRPr="00FA7EED">
        <w:t xml:space="preserve">aged 50 years or over, and a third </w:t>
      </w:r>
      <w:r w:rsidR="007F2247">
        <w:t>were</w:t>
      </w:r>
      <w:r w:rsidR="007F2247" w:rsidRPr="00FA7EED">
        <w:t xml:space="preserve"> </w:t>
      </w:r>
      <w:r w:rsidRPr="00FA7EED">
        <w:t>65 years or over</w:t>
      </w:r>
      <w:r>
        <w:t>.</w:t>
      </w:r>
      <w:r w:rsidR="00A02E1C">
        <w:t xml:space="preserve"> </w:t>
      </w:r>
    </w:p>
    <w:p w14:paraId="1D6CD7E4" w14:textId="10BC0240" w:rsidR="00F62431" w:rsidRDefault="00F62431" w:rsidP="00F62431">
      <w:pPr>
        <w:pStyle w:val="Heading2"/>
      </w:pPr>
      <w:bookmarkStart w:id="83" w:name="_Toc187762875"/>
      <w:bookmarkStart w:id="84" w:name="_Toc187763569"/>
      <w:bookmarkStart w:id="85" w:name="_Toc187763836"/>
      <w:bookmarkStart w:id="86" w:name="_Toc190856839"/>
      <w:r>
        <w:t>4.</w:t>
      </w:r>
      <w:r w:rsidR="005462F8">
        <w:t>2</w:t>
      </w:r>
      <w:r>
        <w:t xml:space="preserve"> By gender</w:t>
      </w:r>
      <w:r w:rsidR="008F705F">
        <w:rPr>
          <w:rStyle w:val="FootnoteReference"/>
        </w:rPr>
        <w:footnoteReference w:id="2"/>
      </w:r>
      <w:bookmarkEnd w:id="83"/>
      <w:bookmarkEnd w:id="84"/>
      <w:bookmarkEnd w:id="85"/>
      <w:bookmarkEnd w:id="86"/>
      <w:r>
        <w:t xml:space="preserve"> </w:t>
      </w:r>
    </w:p>
    <w:p w14:paraId="4125D28C" w14:textId="0E94F3F8" w:rsidR="00225A9E" w:rsidRDefault="00AF2B12" w:rsidP="00AF2B12">
      <w:r>
        <w:t xml:space="preserve">The disability rate for all females was 18 percent, 3 percentage points higher than the male rate of 15 percent. This equated to 89,000 more disabled females than males. </w:t>
      </w:r>
    </w:p>
    <w:p w14:paraId="1297D425" w14:textId="4E6677B7" w:rsidR="00AF2B12" w:rsidRDefault="487EA960" w:rsidP="00AF2B12">
      <w:r w:rsidRPr="3524BD2A">
        <w:t xml:space="preserve">A higher </w:t>
      </w:r>
      <w:r w:rsidR="77784AA1" w:rsidRPr="3524BD2A">
        <w:t xml:space="preserve">disability </w:t>
      </w:r>
      <w:r w:rsidRPr="3524BD2A">
        <w:t xml:space="preserve">rate for females was observed across the adult life span. In adulthood, the </w:t>
      </w:r>
      <w:r w:rsidR="0D445CED" w:rsidRPr="3524BD2A">
        <w:t>disabil</w:t>
      </w:r>
      <w:r w:rsidR="6188AD0F" w:rsidRPr="3524BD2A">
        <w:t>ity</w:t>
      </w:r>
      <w:r w:rsidR="0D445CED" w:rsidRPr="3524BD2A">
        <w:t xml:space="preserve"> </w:t>
      </w:r>
      <w:r w:rsidRPr="3524BD2A">
        <w:t xml:space="preserve">rate was 20 percent for women compared </w:t>
      </w:r>
      <w:r w:rsidR="4B9D78D1" w:rsidRPr="3524BD2A">
        <w:t>with</w:t>
      </w:r>
      <w:r w:rsidRPr="3524BD2A">
        <w:t xml:space="preserve"> 15 percent for men. This equated to 113,000 more disabled women than disabled men. </w:t>
      </w:r>
    </w:p>
    <w:p w14:paraId="65B25187" w14:textId="00686072" w:rsidR="00AF2B12" w:rsidRDefault="59467CA7" w:rsidP="00AF2B12">
      <w:r w:rsidRPr="3524BD2A">
        <w:t>Among</w:t>
      </w:r>
      <w:r w:rsidR="487EA960" w:rsidRPr="3524BD2A">
        <w:t xml:space="preserve"> children</w:t>
      </w:r>
      <w:r w:rsidR="0C20219C" w:rsidRPr="3524BD2A">
        <w:t xml:space="preserve"> however</w:t>
      </w:r>
      <w:r w:rsidR="487EA960" w:rsidRPr="3524BD2A">
        <w:t xml:space="preserve">, disability </w:t>
      </w:r>
      <w:r w:rsidR="3B9274DA" w:rsidRPr="3524BD2A">
        <w:t>rate</w:t>
      </w:r>
      <w:r w:rsidR="495CEBD8" w:rsidRPr="3524BD2A">
        <w:t xml:space="preserve"> was</w:t>
      </w:r>
      <w:r w:rsidR="487EA960" w:rsidRPr="3524BD2A">
        <w:t xml:space="preserve"> higher for boys than for girls, at 12 </w:t>
      </w:r>
      <w:r w:rsidR="4C9BB6B3" w:rsidRPr="3524BD2A">
        <w:t xml:space="preserve">percent </w:t>
      </w:r>
      <w:r w:rsidR="487EA960" w:rsidRPr="3524BD2A">
        <w:t xml:space="preserve">and 8 percent respectively. The difference in disability rates </w:t>
      </w:r>
      <w:r w:rsidR="52DFDB2D" w:rsidRPr="3524BD2A">
        <w:t>meant</w:t>
      </w:r>
      <w:r w:rsidR="487EA960" w:rsidRPr="3524BD2A">
        <w:t xml:space="preserve"> 24,000 more disabled boys than disabled girls. </w:t>
      </w:r>
    </w:p>
    <w:p w14:paraId="4DB3BA46" w14:textId="7AC3850A" w:rsidR="00D27994" w:rsidRDefault="00AF2B12" w:rsidP="00D27994">
      <w:r w:rsidRPr="00FA0D29">
        <w:t xml:space="preserve">On average women live longer than men and, because disability increases with age, this is a factor in the higher prevalence of disability for females. However, the </w:t>
      </w:r>
      <w:r w:rsidR="00E130AB">
        <w:t xml:space="preserve">disability </w:t>
      </w:r>
      <w:r w:rsidRPr="00FA0D29">
        <w:t xml:space="preserve">rate for women was higher than </w:t>
      </w:r>
      <w:r w:rsidRPr="00FA0D29" w:rsidDel="00226F0C">
        <w:t xml:space="preserve">that </w:t>
      </w:r>
      <w:r w:rsidRPr="00FA0D29">
        <w:t xml:space="preserve">for men across all adult </w:t>
      </w:r>
      <w:r w:rsidR="00751C74" w:rsidRPr="00FA0D29">
        <w:t>age group</w:t>
      </w:r>
      <w:r w:rsidRPr="00FA0D29">
        <w:t xml:space="preserve">s, showing that women were more likely </w:t>
      </w:r>
      <w:r w:rsidRPr="00FA0D29" w:rsidDel="00F32B45">
        <w:t xml:space="preserve">than men </w:t>
      </w:r>
      <w:r w:rsidRPr="00FA0D29">
        <w:t>to be disabled at any age</w:t>
      </w:r>
      <w:r w:rsidR="000F08AD">
        <w:t xml:space="preserve"> and the higher rate </w:t>
      </w:r>
      <w:r w:rsidR="000F08AD" w:rsidDel="0035590C">
        <w:t xml:space="preserve">for </w:t>
      </w:r>
      <w:r w:rsidR="007562A9" w:rsidDel="0035590C">
        <w:t xml:space="preserve">women </w:t>
      </w:r>
      <w:r w:rsidR="007562A9">
        <w:t xml:space="preserve">is not </w:t>
      </w:r>
      <w:r w:rsidR="00167C4D">
        <w:t>solely due to women living longer</w:t>
      </w:r>
      <w:r w:rsidRPr="00FA0D29">
        <w:t>.</w:t>
      </w:r>
      <w:r w:rsidR="00D27994">
        <w:t xml:space="preserve"> </w:t>
      </w:r>
    </w:p>
    <w:p w14:paraId="51D73F78" w14:textId="758B0A87" w:rsidR="00692831" w:rsidRPr="00E6628C" w:rsidRDefault="00692831" w:rsidP="00897777">
      <w:pPr>
        <w:pStyle w:val="Figureandtablenumbers"/>
        <w:spacing w:before="0"/>
      </w:pPr>
      <w:r>
        <w:t xml:space="preserve">Table </w:t>
      </w:r>
      <w:r w:rsidR="00897777">
        <w:t>3</w:t>
      </w:r>
    </w:p>
    <w:p w14:paraId="49AACC70" w14:textId="39CC6AC7" w:rsidR="00692831" w:rsidRPr="000275D8" w:rsidRDefault="00897777" w:rsidP="00692831">
      <w:pPr>
        <w:pStyle w:val="Tabletitle-forhiding"/>
      </w:pPr>
      <w:bookmarkStart w:id="88" w:name="_Toc190426272"/>
      <w:r>
        <w:t>3 Disability prevalence by age group and gender</w:t>
      </w:r>
      <w:bookmarkEnd w:id="88"/>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0"/>
        <w:gridCol w:w="992"/>
        <w:gridCol w:w="1250"/>
        <w:gridCol w:w="1161"/>
        <w:gridCol w:w="1233"/>
        <w:gridCol w:w="1176"/>
        <w:gridCol w:w="1224"/>
      </w:tblGrid>
      <w:tr w:rsidR="00897777" w14:paraId="0C0A29D9" w14:textId="77777777" w:rsidTr="00DF5150">
        <w:trPr>
          <w:trHeight w:val="413"/>
        </w:trPr>
        <w:tc>
          <w:tcPr>
            <w:tcW w:w="5000" w:type="pct"/>
            <w:gridSpan w:val="7"/>
            <w:tcBorders>
              <w:left w:val="single" w:sz="4" w:space="0" w:color="auto"/>
              <w:right w:val="single" w:sz="4" w:space="0" w:color="auto"/>
            </w:tcBorders>
          </w:tcPr>
          <w:p w14:paraId="4EAE33E8" w14:textId="4991B789" w:rsidR="00897777" w:rsidRPr="00B40B92" w:rsidRDefault="00897777" w:rsidP="00897777">
            <w:pPr>
              <w:pStyle w:val="Tabletitle1"/>
            </w:pPr>
            <w:r>
              <w:t>Disability prevalence by age group and gender</w:t>
            </w:r>
          </w:p>
        </w:tc>
      </w:tr>
      <w:tr w:rsidR="00DF5150" w14:paraId="2AE2500B" w14:textId="77777777" w:rsidTr="002650F6">
        <w:trPr>
          <w:trHeight w:val="316"/>
        </w:trPr>
        <w:tc>
          <w:tcPr>
            <w:tcW w:w="1098" w:type="pct"/>
            <w:vMerge w:val="restart"/>
            <w:tcBorders>
              <w:left w:val="single" w:sz="4" w:space="0" w:color="auto"/>
            </w:tcBorders>
            <w:vAlign w:val="center"/>
          </w:tcPr>
          <w:p w14:paraId="7CF40E2B" w14:textId="6581AA0F" w:rsidR="00DF5150" w:rsidRPr="004A691B" w:rsidRDefault="00DF5150" w:rsidP="009B1C87">
            <w:pPr>
              <w:pStyle w:val="Numbertablecolumnheading-leftaligned"/>
            </w:pPr>
            <w:r>
              <w:t>Age group</w:t>
            </w:r>
          </w:p>
        </w:tc>
        <w:tc>
          <w:tcPr>
            <w:tcW w:w="1243" w:type="pct"/>
            <w:gridSpan w:val="2"/>
            <w:vAlign w:val="center"/>
          </w:tcPr>
          <w:p w14:paraId="719717AC" w14:textId="54603C31" w:rsidR="00DF5150" w:rsidRDefault="00DF5150" w:rsidP="00DF5150">
            <w:pPr>
              <w:pStyle w:val="Numbertablecolumnheading-centered"/>
            </w:pPr>
            <w:r>
              <w:t>Total</w:t>
            </w:r>
          </w:p>
        </w:tc>
        <w:tc>
          <w:tcPr>
            <w:tcW w:w="1328" w:type="pct"/>
            <w:gridSpan w:val="2"/>
            <w:vAlign w:val="center"/>
          </w:tcPr>
          <w:p w14:paraId="108454FE" w14:textId="03ACBE8C" w:rsidR="00DF5150" w:rsidRPr="00E409C9" w:rsidRDefault="00DF5150" w:rsidP="00DF5150">
            <w:pPr>
              <w:pStyle w:val="Numbertablecolumnheading-centered"/>
            </w:pPr>
            <w:r>
              <w:t>Male</w:t>
            </w:r>
          </w:p>
        </w:tc>
        <w:tc>
          <w:tcPr>
            <w:tcW w:w="1331" w:type="pct"/>
            <w:gridSpan w:val="2"/>
            <w:tcBorders>
              <w:right w:val="single" w:sz="4" w:space="0" w:color="auto"/>
            </w:tcBorders>
            <w:vAlign w:val="center"/>
          </w:tcPr>
          <w:p w14:paraId="59E114A8" w14:textId="76230B00" w:rsidR="00DF5150" w:rsidRPr="00B40B92" w:rsidRDefault="00DF5150" w:rsidP="00DF5150">
            <w:pPr>
              <w:pStyle w:val="Numbertablecolumnheading-centered"/>
            </w:pPr>
            <w:r>
              <w:t>Female</w:t>
            </w:r>
          </w:p>
        </w:tc>
      </w:tr>
      <w:tr w:rsidR="009B128A" w14:paraId="2BED3439" w14:textId="77777777" w:rsidTr="002650F6">
        <w:trPr>
          <w:trHeight w:val="277"/>
        </w:trPr>
        <w:tc>
          <w:tcPr>
            <w:tcW w:w="1098" w:type="pct"/>
            <w:vMerge/>
            <w:tcBorders>
              <w:left w:val="single" w:sz="4" w:space="0" w:color="auto"/>
              <w:bottom w:val="single" w:sz="4" w:space="0" w:color="auto"/>
            </w:tcBorders>
          </w:tcPr>
          <w:p w14:paraId="472575C3" w14:textId="77777777" w:rsidR="00DF5150" w:rsidRDefault="00DF5150" w:rsidP="00DF5150"/>
        </w:tc>
        <w:tc>
          <w:tcPr>
            <w:tcW w:w="550" w:type="pct"/>
            <w:tcBorders>
              <w:bottom w:val="single" w:sz="4" w:space="0" w:color="auto"/>
            </w:tcBorders>
          </w:tcPr>
          <w:p w14:paraId="02810BB1" w14:textId="511B3506" w:rsidR="00DF5150" w:rsidRDefault="00DF5150" w:rsidP="00DF5150">
            <w:pPr>
              <w:pStyle w:val="Numbertablecolumnheading-centered"/>
            </w:pPr>
            <w:r>
              <w:t>Disability rate (%)</w:t>
            </w:r>
          </w:p>
        </w:tc>
        <w:tc>
          <w:tcPr>
            <w:tcW w:w="693" w:type="pct"/>
            <w:tcBorders>
              <w:bottom w:val="single" w:sz="4" w:space="0" w:color="auto"/>
            </w:tcBorders>
          </w:tcPr>
          <w:p w14:paraId="2BAA3508" w14:textId="4D2FFB8B" w:rsidR="00DF5150" w:rsidRDefault="00DF5150" w:rsidP="00DF5150">
            <w:pPr>
              <w:pStyle w:val="Numbertablecolumnheading-centered"/>
            </w:pPr>
            <w:r>
              <w:t>Number of disabled people</w:t>
            </w:r>
          </w:p>
        </w:tc>
        <w:tc>
          <w:tcPr>
            <w:tcW w:w="644" w:type="pct"/>
            <w:tcBorders>
              <w:bottom w:val="single" w:sz="4" w:space="0" w:color="auto"/>
              <w:right w:val="single" w:sz="4" w:space="0" w:color="auto"/>
            </w:tcBorders>
          </w:tcPr>
          <w:p w14:paraId="16A22F6A" w14:textId="71447DF4" w:rsidR="00DF5150" w:rsidRPr="00BB1E87" w:rsidRDefault="00DF5150" w:rsidP="00DF5150">
            <w:pPr>
              <w:pStyle w:val="Numbertablecolumnheading-centered"/>
            </w:pPr>
            <w:r>
              <w:t>Disability rate (%)</w:t>
            </w:r>
          </w:p>
        </w:tc>
        <w:tc>
          <w:tcPr>
            <w:tcW w:w="684" w:type="pct"/>
            <w:tcBorders>
              <w:bottom w:val="single" w:sz="4" w:space="0" w:color="auto"/>
              <w:right w:val="single" w:sz="4" w:space="0" w:color="auto"/>
            </w:tcBorders>
          </w:tcPr>
          <w:p w14:paraId="0323836C" w14:textId="6BA0E5C3" w:rsidR="00DF5150" w:rsidRPr="00BB1E87" w:rsidRDefault="00DF5150" w:rsidP="00DF5150">
            <w:pPr>
              <w:pStyle w:val="Numbertablecolumnheading-centered"/>
            </w:pPr>
            <w:r>
              <w:t>Number of disabled people</w:t>
            </w:r>
          </w:p>
        </w:tc>
        <w:tc>
          <w:tcPr>
            <w:tcW w:w="652" w:type="pct"/>
            <w:tcBorders>
              <w:bottom w:val="single" w:sz="4" w:space="0" w:color="auto"/>
              <w:right w:val="single" w:sz="4" w:space="0" w:color="auto"/>
            </w:tcBorders>
          </w:tcPr>
          <w:p w14:paraId="2B603A9D" w14:textId="63B69074" w:rsidR="00DF5150" w:rsidRPr="00BB1E87" w:rsidRDefault="00DF5150" w:rsidP="00DF5150">
            <w:pPr>
              <w:pStyle w:val="Numbertablecolumnheading-centered"/>
            </w:pPr>
            <w:r>
              <w:t>Disability rate (%)</w:t>
            </w:r>
          </w:p>
        </w:tc>
        <w:tc>
          <w:tcPr>
            <w:tcW w:w="679" w:type="pct"/>
            <w:tcBorders>
              <w:bottom w:val="single" w:sz="4" w:space="0" w:color="auto"/>
              <w:right w:val="single" w:sz="4" w:space="0" w:color="auto"/>
            </w:tcBorders>
          </w:tcPr>
          <w:p w14:paraId="047587F3" w14:textId="6DD0A168" w:rsidR="00DF5150" w:rsidRPr="00BB1E87" w:rsidRDefault="00DF5150" w:rsidP="00DF5150">
            <w:pPr>
              <w:pStyle w:val="Numbertablecolumnheading-centered"/>
            </w:pPr>
            <w:r>
              <w:t>Number of disabled people</w:t>
            </w:r>
          </w:p>
        </w:tc>
      </w:tr>
      <w:tr w:rsidR="009B128A" w14:paraId="7AFA89C1" w14:textId="77777777" w:rsidTr="002650F6">
        <w:trPr>
          <w:trHeight w:val="140"/>
        </w:trPr>
        <w:tc>
          <w:tcPr>
            <w:tcW w:w="1098" w:type="pct"/>
            <w:tcBorders>
              <w:top w:val="single" w:sz="4" w:space="0" w:color="auto"/>
              <w:left w:val="single" w:sz="4" w:space="0" w:color="auto"/>
              <w:bottom w:val="nil"/>
              <w:right w:val="nil"/>
            </w:tcBorders>
          </w:tcPr>
          <w:p w14:paraId="45F928FE" w14:textId="757256E5" w:rsidR="005B3F83" w:rsidRDefault="005B3F83" w:rsidP="005B3F83">
            <w:pPr>
              <w:pStyle w:val="Numbertablecolumnheading-leftaligned"/>
            </w:pPr>
            <w:r w:rsidRPr="00726273">
              <w:rPr>
                <w:rFonts w:asciiTheme="minorHAnsi" w:hAnsiTheme="minorHAnsi" w:cstheme="minorHAnsi"/>
              </w:rPr>
              <w:t>Children (0</w:t>
            </w:r>
            <w:r w:rsidR="00514CE3">
              <w:rPr>
                <w:rFonts w:asciiTheme="minorHAnsi" w:hAnsiTheme="minorHAnsi" w:cstheme="minorHAnsi"/>
              </w:rPr>
              <w:t xml:space="preserve"> to </w:t>
            </w:r>
            <w:r w:rsidRPr="00726273">
              <w:rPr>
                <w:rFonts w:asciiTheme="minorHAnsi" w:hAnsiTheme="minorHAnsi" w:cstheme="minorHAnsi"/>
              </w:rPr>
              <w:t>14 years)</w:t>
            </w:r>
          </w:p>
        </w:tc>
        <w:tc>
          <w:tcPr>
            <w:tcW w:w="550" w:type="pct"/>
            <w:tcBorders>
              <w:top w:val="single" w:sz="4" w:space="0" w:color="auto"/>
              <w:left w:val="nil"/>
              <w:bottom w:val="nil"/>
              <w:right w:val="nil"/>
            </w:tcBorders>
            <w:vAlign w:val="center"/>
          </w:tcPr>
          <w:p w14:paraId="5A8BA626" w14:textId="284B87E6" w:rsidR="005B3F83" w:rsidRPr="00676A28" w:rsidRDefault="005B3F83" w:rsidP="005B3F83">
            <w:pPr>
              <w:pStyle w:val="Numbertablecolumnheading-centered"/>
            </w:pPr>
            <w:r w:rsidRPr="00726273">
              <w:rPr>
                <w:rFonts w:asciiTheme="minorHAnsi" w:hAnsiTheme="minorHAnsi" w:cstheme="minorHAnsi"/>
              </w:rPr>
              <w:t>10</w:t>
            </w:r>
          </w:p>
        </w:tc>
        <w:tc>
          <w:tcPr>
            <w:tcW w:w="693" w:type="pct"/>
            <w:tcBorders>
              <w:top w:val="single" w:sz="4" w:space="0" w:color="auto"/>
              <w:left w:val="nil"/>
              <w:bottom w:val="nil"/>
              <w:right w:val="nil"/>
            </w:tcBorders>
            <w:vAlign w:val="center"/>
          </w:tcPr>
          <w:p w14:paraId="3A71D48D" w14:textId="74A95100" w:rsidR="005B3F83" w:rsidRPr="00676A28" w:rsidRDefault="005B3F83" w:rsidP="005B3F83">
            <w:pPr>
              <w:pStyle w:val="Numbertablecolumnheading-centered"/>
            </w:pPr>
            <w:r w:rsidRPr="00726273">
              <w:rPr>
                <w:rFonts w:asciiTheme="minorHAnsi" w:hAnsiTheme="minorHAnsi" w:cstheme="minorHAnsi"/>
              </w:rPr>
              <w:t>98,000</w:t>
            </w:r>
          </w:p>
        </w:tc>
        <w:tc>
          <w:tcPr>
            <w:tcW w:w="644" w:type="pct"/>
            <w:tcBorders>
              <w:top w:val="single" w:sz="4" w:space="0" w:color="auto"/>
              <w:left w:val="nil"/>
              <w:bottom w:val="nil"/>
              <w:right w:val="nil"/>
            </w:tcBorders>
            <w:vAlign w:val="center"/>
          </w:tcPr>
          <w:p w14:paraId="02A66F02" w14:textId="1E957406" w:rsidR="005B3F83" w:rsidRPr="00676A28" w:rsidRDefault="005B3F83" w:rsidP="005B3F83">
            <w:pPr>
              <w:pStyle w:val="Numbertablecolumnheading-centered"/>
            </w:pPr>
            <w:r w:rsidRPr="00726273">
              <w:rPr>
                <w:rFonts w:asciiTheme="minorHAnsi" w:hAnsiTheme="minorHAnsi" w:cstheme="minorHAnsi"/>
              </w:rPr>
              <w:t>12</w:t>
            </w:r>
          </w:p>
        </w:tc>
        <w:tc>
          <w:tcPr>
            <w:tcW w:w="684" w:type="pct"/>
            <w:tcBorders>
              <w:top w:val="single" w:sz="4" w:space="0" w:color="auto"/>
              <w:left w:val="nil"/>
              <w:bottom w:val="nil"/>
              <w:right w:val="nil"/>
            </w:tcBorders>
            <w:vAlign w:val="center"/>
          </w:tcPr>
          <w:p w14:paraId="45FD4989" w14:textId="6690C9F1" w:rsidR="005B3F83" w:rsidRPr="00676A28" w:rsidRDefault="005B3F83" w:rsidP="005B3F83">
            <w:pPr>
              <w:pStyle w:val="Numbertablecolumnheading-centered"/>
            </w:pPr>
            <w:r w:rsidRPr="00726273">
              <w:rPr>
                <w:rFonts w:asciiTheme="minorHAnsi" w:hAnsiTheme="minorHAnsi" w:cstheme="minorHAnsi"/>
              </w:rPr>
              <w:t>61,000</w:t>
            </w:r>
          </w:p>
        </w:tc>
        <w:tc>
          <w:tcPr>
            <w:tcW w:w="652" w:type="pct"/>
            <w:tcBorders>
              <w:top w:val="single" w:sz="4" w:space="0" w:color="auto"/>
              <w:left w:val="nil"/>
              <w:bottom w:val="nil"/>
              <w:right w:val="nil"/>
            </w:tcBorders>
            <w:vAlign w:val="center"/>
          </w:tcPr>
          <w:p w14:paraId="20FAF440" w14:textId="5BA0127E" w:rsidR="005B3F83" w:rsidRPr="00676A28" w:rsidRDefault="005B3F83" w:rsidP="005B3F83">
            <w:pPr>
              <w:pStyle w:val="Numbertablecolumnheading-centered"/>
            </w:pPr>
            <w:r w:rsidRPr="00726273">
              <w:rPr>
                <w:rFonts w:asciiTheme="minorHAnsi" w:hAnsiTheme="minorHAnsi" w:cstheme="minorHAnsi"/>
              </w:rPr>
              <w:t>8</w:t>
            </w:r>
          </w:p>
        </w:tc>
        <w:tc>
          <w:tcPr>
            <w:tcW w:w="679" w:type="pct"/>
            <w:tcBorders>
              <w:top w:val="single" w:sz="4" w:space="0" w:color="auto"/>
              <w:left w:val="nil"/>
              <w:bottom w:val="nil"/>
              <w:right w:val="single" w:sz="4" w:space="0" w:color="auto"/>
            </w:tcBorders>
            <w:vAlign w:val="center"/>
          </w:tcPr>
          <w:p w14:paraId="5678FFCF" w14:textId="26F253DA" w:rsidR="005B3F83" w:rsidRPr="00676A28" w:rsidRDefault="005B3F83" w:rsidP="005B3F83">
            <w:pPr>
              <w:pStyle w:val="Numbertablecolumnheading-centered"/>
            </w:pPr>
            <w:r w:rsidRPr="00726273">
              <w:rPr>
                <w:rFonts w:asciiTheme="minorHAnsi" w:hAnsiTheme="minorHAnsi" w:cstheme="minorHAnsi"/>
              </w:rPr>
              <w:t>37,000</w:t>
            </w:r>
          </w:p>
        </w:tc>
      </w:tr>
      <w:tr w:rsidR="009B128A" w14:paraId="3CB39C77" w14:textId="77777777" w:rsidTr="002650F6">
        <w:trPr>
          <w:trHeight w:val="284"/>
        </w:trPr>
        <w:tc>
          <w:tcPr>
            <w:tcW w:w="1098" w:type="pct"/>
            <w:tcBorders>
              <w:top w:val="nil"/>
              <w:left w:val="single" w:sz="4" w:space="0" w:color="auto"/>
              <w:bottom w:val="nil"/>
              <w:right w:val="nil"/>
            </w:tcBorders>
          </w:tcPr>
          <w:p w14:paraId="78839DFB" w14:textId="4C86FE31" w:rsidR="005B3F83" w:rsidRPr="00E409C9" w:rsidRDefault="005B3F83" w:rsidP="005B3F83">
            <w:pPr>
              <w:pStyle w:val="Numbertablecolumnheading-leftaligned"/>
            </w:pPr>
            <w:r w:rsidRPr="00726273">
              <w:rPr>
                <w:rFonts w:asciiTheme="minorHAnsi" w:hAnsiTheme="minorHAnsi" w:cstheme="minorHAnsi"/>
              </w:rPr>
              <w:t>Adults (15+ years)</w:t>
            </w:r>
          </w:p>
        </w:tc>
        <w:tc>
          <w:tcPr>
            <w:tcW w:w="550" w:type="pct"/>
            <w:tcBorders>
              <w:top w:val="nil"/>
              <w:left w:val="nil"/>
              <w:bottom w:val="nil"/>
              <w:right w:val="nil"/>
            </w:tcBorders>
            <w:vAlign w:val="center"/>
          </w:tcPr>
          <w:p w14:paraId="623F2C50" w14:textId="39879123" w:rsidR="005B3F83" w:rsidRPr="008C60EC" w:rsidRDefault="005B3F83" w:rsidP="005B3F83">
            <w:pPr>
              <w:pStyle w:val="Numbertablecolumnheading-centered"/>
            </w:pPr>
            <w:r w:rsidRPr="00726273">
              <w:rPr>
                <w:rFonts w:asciiTheme="minorHAnsi" w:hAnsiTheme="minorHAnsi" w:cstheme="minorHAnsi"/>
              </w:rPr>
              <w:t>18</w:t>
            </w:r>
          </w:p>
        </w:tc>
        <w:tc>
          <w:tcPr>
            <w:tcW w:w="693" w:type="pct"/>
            <w:tcBorders>
              <w:top w:val="nil"/>
              <w:left w:val="nil"/>
              <w:bottom w:val="nil"/>
              <w:right w:val="nil"/>
            </w:tcBorders>
            <w:vAlign w:val="center"/>
          </w:tcPr>
          <w:p w14:paraId="2C93D91F" w14:textId="20D7B55F" w:rsidR="005B3F83" w:rsidRPr="008C60EC" w:rsidRDefault="005B3F83" w:rsidP="005B3F83">
            <w:pPr>
              <w:pStyle w:val="Numbertablecolumnheading-centered"/>
            </w:pPr>
            <w:r w:rsidRPr="00726273">
              <w:rPr>
                <w:rFonts w:asciiTheme="minorHAnsi" w:hAnsiTheme="minorHAnsi" w:cstheme="minorHAnsi"/>
              </w:rPr>
              <w:t>753,000</w:t>
            </w:r>
          </w:p>
        </w:tc>
        <w:tc>
          <w:tcPr>
            <w:tcW w:w="644" w:type="pct"/>
            <w:tcBorders>
              <w:top w:val="nil"/>
              <w:left w:val="nil"/>
              <w:bottom w:val="nil"/>
              <w:right w:val="nil"/>
            </w:tcBorders>
            <w:vAlign w:val="center"/>
          </w:tcPr>
          <w:p w14:paraId="6C50A389" w14:textId="0E55C632" w:rsidR="005B3F83" w:rsidRPr="008C60EC" w:rsidRDefault="005B3F83" w:rsidP="005B3F83">
            <w:pPr>
              <w:pStyle w:val="Numbertablecolumnheading-centered"/>
            </w:pPr>
            <w:r w:rsidRPr="00726273">
              <w:rPr>
                <w:rFonts w:asciiTheme="minorHAnsi" w:hAnsiTheme="minorHAnsi" w:cstheme="minorHAnsi"/>
              </w:rPr>
              <w:t>15</w:t>
            </w:r>
          </w:p>
        </w:tc>
        <w:tc>
          <w:tcPr>
            <w:tcW w:w="684" w:type="pct"/>
            <w:tcBorders>
              <w:top w:val="nil"/>
              <w:left w:val="nil"/>
              <w:bottom w:val="nil"/>
              <w:right w:val="nil"/>
            </w:tcBorders>
            <w:vAlign w:val="center"/>
          </w:tcPr>
          <w:p w14:paraId="6C9EBAA0" w14:textId="0BA126FC" w:rsidR="005B3F83" w:rsidRPr="008C60EC" w:rsidRDefault="005B3F83" w:rsidP="005B3F83">
            <w:pPr>
              <w:pStyle w:val="Numbertablecolumnheading-centered"/>
            </w:pPr>
            <w:r w:rsidRPr="00726273">
              <w:rPr>
                <w:rFonts w:asciiTheme="minorHAnsi" w:hAnsiTheme="minorHAnsi" w:cstheme="minorHAnsi"/>
              </w:rPr>
              <w:t>316,000</w:t>
            </w:r>
          </w:p>
        </w:tc>
        <w:tc>
          <w:tcPr>
            <w:tcW w:w="652" w:type="pct"/>
            <w:tcBorders>
              <w:top w:val="nil"/>
              <w:left w:val="nil"/>
              <w:bottom w:val="nil"/>
              <w:right w:val="nil"/>
            </w:tcBorders>
            <w:vAlign w:val="center"/>
          </w:tcPr>
          <w:p w14:paraId="206A6FB5" w14:textId="40615B94" w:rsidR="005B3F83" w:rsidRPr="008C60EC" w:rsidRDefault="005B3F83" w:rsidP="005B3F83">
            <w:pPr>
              <w:pStyle w:val="Numbertablecolumnheading-centered"/>
            </w:pPr>
            <w:r w:rsidRPr="00726273">
              <w:rPr>
                <w:rFonts w:asciiTheme="minorHAnsi" w:hAnsiTheme="minorHAnsi" w:cstheme="minorHAnsi"/>
              </w:rPr>
              <w:t>20</w:t>
            </w:r>
          </w:p>
        </w:tc>
        <w:tc>
          <w:tcPr>
            <w:tcW w:w="679" w:type="pct"/>
            <w:tcBorders>
              <w:top w:val="nil"/>
              <w:left w:val="nil"/>
              <w:bottom w:val="nil"/>
              <w:right w:val="single" w:sz="4" w:space="0" w:color="auto"/>
            </w:tcBorders>
            <w:vAlign w:val="center"/>
          </w:tcPr>
          <w:p w14:paraId="2E4C35AB" w14:textId="720301EC" w:rsidR="005B3F83" w:rsidRPr="008C60EC" w:rsidRDefault="005B3F83" w:rsidP="005B3F83">
            <w:pPr>
              <w:pStyle w:val="Numbertablecolumnheading-centered"/>
            </w:pPr>
            <w:r w:rsidRPr="00726273">
              <w:rPr>
                <w:rFonts w:asciiTheme="minorHAnsi" w:hAnsiTheme="minorHAnsi" w:cstheme="minorHAnsi"/>
              </w:rPr>
              <w:t>429,000</w:t>
            </w:r>
          </w:p>
        </w:tc>
      </w:tr>
      <w:tr w:rsidR="009B128A" w14:paraId="1D18AB68" w14:textId="77777777" w:rsidTr="002650F6">
        <w:trPr>
          <w:trHeight w:val="284"/>
        </w:trPr>
        <w:tc>
          <w:tcPr>
            <w:tcW w:w="1098" w:type="pct"/>
            <w:tcBorders>
              <w:top w:val="nil"/>
              <w:left w:val="single" w:sz="4" w:space="0" w:color="auto"/>
              <w:bottom w:val="nil"/>
              <w:right w:val="nil"/>
            </w:tcBorders>
          </w:tcPr>
          <w:p w14:paraId="518655AD" w14:textId="3E7C97DC" w:rsidR="005B3F83" w:rsidRPr="00BB1E87" w:rsidRDefault="00A02E1C" w:rsidP="005B3F83">
            <w:pPr>
              <w:pStyle w:val="Numbertablecolumnheading-leftaligned"/>
            </w:pPr>
            <w:r>
              <w:rPr>
                <w:rFonts w:asciiTheme="minorHAnsi" w:hAnsiTheme="minorHAnsi" w:cstheme="minorHAnsi"/>
              </w:rPr>
              <w:t xml:space="preserve">  </w:t>
            </w:r>
            <w:r w:rsidR="005B3F83" w:rsidRPr="00726273">
              <w:rPr>
                <w:rFonts w:asciiTheme="minorHAnsi" w:hAnsiTheme="minorHAnsi" w:cstheme="minorHAnsi"/>
              </w:rPr>
              <w:t>15</w:t>
            </w:r>
            <w:r w:rsidR="00514CE3">
              <w:rPr>
                <w:rFonts w:asciiTheme="minorHAnsi" w:hAnsiTheme="minorHAnsi" w:cstheme="minorHAnsi"/>
              </w:rPr>
              <w:t xml:space="preserve"> to </w:t>
            </w:r>
            <w:r w:rsidR="005B3F83" w:rsidRPr="00726273">
              <w:rPr>
                <w:rFonts w:asciiTheme="minorHAnsi" w:hAnsiTheme="minorHAnsi" w:cstheme="minorHAnsi"/>
              </w:rPr>
              <w:t xml:space="preserve">44 years </w:t>
            </w:r>
          </w:p>
        </w:tc>
        <w:tc>
          <w:tcPr>
            <w:tcW w:w="550" w:type="pct"/>
            <w:tcBorders>
              <w:top w:val="nil"/>
              <w:left w:val="nil"/>
              <w:bottom w:val="nil"/>
              <w:right w:val="nil"/>
            </w:tcBorders>
            <w:vAlign w:val="center"/>
          </w:tcPr>
          <w:p w14:paraId="1D6441EB" w14:textId="786DADAC" w:rsidR="005B3F83" w:rsidRPr="008C60EC" w:rsidRDefault="005B3F83" w:rsidP="005B3F83">
            <w:pPr>
              <w:pStyle w:val="Numbertablecolumnheading-centered"/>
            </w:pPr>
            <w:r w:rsidRPr="00726273">
              <w:rPr>
                <w:rFonts w:asciiTheme="minorHAnsi" w:hAnsiTheme="minorHAnsi" w:cstheme="minorHAnsi"/>
              </w:rPr>
              <w:t>12</w:t>
            </w:r>
          </w:p>
        </w:tc>
        <w:tc>
          <w:tcPr>
            <w:tcW w:w="693" w:type="pct"/>
            <w:tcBorders>
              <w:top w:val="nil"/>
              <w:left w:val="nil"/>
              <w:bottom w:val="nil"/>
              <w:right w:val="nil"/>
            </w:tcBorders>
            <w:vAlign w:val="center"/>
          </w:tcPr>
          <w:p w14:paraId="2A418A3F" w14:textId="22AC91E7" w:rsidR="005B3F83" w:rsidRPr="008C60EC" w:rsidRDefault="005B3F83" w:rsidP="005B3F83">
            <w:pPr>
              <w:pStyle w:val="Numbertablecolumnheading-centered"/>
            </w:pPr>
            <w:r w:rsidRPr="00726273">
              <w:rPr>
                <w:rFonts w:asciiTheme="minorHAnsi" w:hAnsiTheme="minorHAnsi" w:cstheme="minorHAnsi"/>
              </w:rPr>
              <w:t>254,000</w:t>
            </w:r>
          </w:p>
        </w:tc>
        <w:tc>
          <w:tcPr>
            <w:tcW w:w="644" w:type="pct"/>
            <w:tcBorders>
              <w:top w:val="nil"/>
              <w:left w:val="nil"/>
              <w:bottom w:val="nil"/>
              <w:right w:val="nil"/>
            </w:tcBorders>
            <w:vAlign w:val="center"/>
          </w:tcPr>
          <w:p w14:paraId="29919C86" w14:textId="51660C7B" w:rsidR="005B3F83" w:rsidRPr="008C60EC" w:rsidRDefault="005B3F83" w:rsidP="005B3F83">
            <w:pPr>
              <w:pStyle w:val="Numbertablecolumnheading-centered"/>
            </w:pPr>
            <w:r w:rsidRPr="00726273">
              <w:rPr>
                <w:rFonts w:asciiTheme="minorHAnsi" w:hAnsiTheme="minorHAnsi" w:cstheme="minorHAnsi"/>
              </w:rPr>
              <w:t>10</w:t>
            </w:r>
          </w:p>
        </w:tc>
        <w:tc>
          <w:tcPr>
            <w:tcW w:w="684" w:type="pct"/>
            <w:tcBorders>
              <w:top w:val="nil"/>
              <w:left w:val="nil"/>
              <w:bottom w:val="nil"/>
              <w:right w:val="nil"/>
            </w:tcBorders>
            <w:vAlign w:val="center"/>
          </w:tcPr>
          <w:p w14:paraId="522E8FE1" w14:textId="52F9A20D" w:rsidR="005B3F83" w:rsidRPr="008C60EC" w:rsidRDefault="005B3F83" w:rsidP="005B3F83">
            <w:pPr>
              <w:pStyle w:val="Numbertablecolumnheading-centered"/>
            </w:pPr>
            <w:r w:rsidRPr="00726273">
              <w:rPr>
                <w:rFonts w:asciiTheme="minorHAnsi" w:hAnsiTheme="minorHAnsi" w:cstheme="minorHAnsi"/>
              </w:rPr>
              <w:t>108,000</w:t>
            </w:r>
          </w:p>
        </w:tc>
        <w:tc>
          <w:tcPr>
            <w:tcW w:w="652" w:type="pct"/>
            <w:tcBorders>
              <w:top w:val="nil"/>
              <w:left w:val="nil"/>
              <w:bottom w:val="nil"/>
              <w:right w:val="nil"/>
            </w:tcBorders>
            <w:vAlign w:val="center"/>
          </w:tcPr>
          <w:p w14:paraId="5F52845A" w14:textId="4DCA9E9E" w:rsidR="005B3F83" w:rsidRPr="008C60EC" w:rsidRDefault="005B3F83" w:rsidP="005B3F83">
            <w:pPr>
              <w:pStyle w:val="Numbertablecolumnheading-centered"/>
            </w:pPr>
            <w:r w:rsidRPr="00726273">
              <w:rPr>
                <w:rFonts w:asciiTheme="minorHAnsi" w:hAnsiTheme="minorHAnsi" w:cstheme="minorHAnsi"/>
              </w:rPr>
              <w:t>14</w:t>
            </w:r>
          </w:p>
        </w:tc>
        <w:tc>
          <w:tcPr>
            <w:tcW w:w="679" w:type="pct"/>
            <w:tcBorders>
              <w:top w:val="nil"/>
              <w:left w:val="nil"/>
              <w:bottom w:val="nil"/>
              <w:right w:val="single" w:sz="4" w:space="0" w:color="auto"/>
            </w:tcBorders>
            <w:vAlign w:val="center"/>
          </w:tcPr>
          <w:p w14:paraId="7BAC53D2" w14:textId="713401B1" w:rsidR="005B3F83" w:rsidRPr="008C60EC" w:rsidRDefault="005B3F83" w:rsidP="005B3F83">
            <w:pPr>
              <w:pStyle w:val="Numbertablecolumnheading-centered"/>
            </w:pPr>
            <w:r w:rsidRPr="00726273">
              <w:rPr>
                <w:rFonts w:asciiTheme="minorHAnsi" w:hAnsiTheme="minorHAnsi" w:cstheme="minorHAnsi"/>
              </w:rPr>
              <w:t>140,000</w:t>
            </w:r>
          </w:p>
        </w:tc>
      </w:tr>
      <w:tr w:rsidR="009B128A" w14:paraId="34A64B33" w14:textId="77777777" w:rsidTr="002650F6">
        <w:trPr>
          <w:trHeight w:val="284"/>
        </w:trPr>
        <w:tc>
          <w:tcPr>
            <w:tcW w:w="1098" w:type="pct"/>
            <w:tcBorders>
              <w:top w:val="nil"/>
              <w:left w:val="single" w:sz="4" w:space="0" w:color="auto"/>
              <w:bottom w:val="nil"/>
              <w:right w:val="nil"/>
            </w:tcBorders>
          </w:tcPr>
          <w:p w14:paraId="5F7ABE71" w14:textId="4CDAB8C0" w:rsidR="005B3F83" w:rsidRDefault="00A02E1C" w:rsidP="005B3F83">
            <w:pPr>
              <w:pStyle w:val="Numbertablecolumnheading-leftaligned"/>
            </w:pPr>
            <w:r>
              <w:rPr>
                <w:rFonts w:asciiTheme="minorHAnsi" w:hAnsiTheme="minorHAnsi" w:cstheme="minorHAnsi"/>
              </w:rPr>
              <w:t xml:space="preserve">  </w:t>
            </w:r>
            <w:r w:rsidR="005B3F83" w:rsidRPr="00726273">
              <w:rPr>
                <w:rFonts w:asciiTheme="minorHAnsi" w:hAnsiTheme="minorHAnsi" w:cstheme="minorHAnsi"/>
              </w:rPr>
              <w:t>45</w:t>
            </w:r>
            <w:r w:rsidR="00514CE3">
              <w:rPr>
                <w:rFonts w:asciiTheme="minorHAnsi" w:hAnsiTheme="minorHAnsi" w:cstheme="minorHAnsi"/>
              </w:rPr>
              <w:t xml:space="preserve"> to </w:t>
            </w:r>
            <w:r w:rsidR="005B3F83" w:rsidRPr="00726273">
              <w:rPr>
                <w:rFonts w:asciiTheme="minorHAnsi" w:hAnsiTheme="minorHAnsi" w:cstheme="minorHAnsi"/>
              </w:rPr>
              <w:t xml:space="preserve">64 years </w:t>
            </w:r>
          </w:p>
        </w:tc>
        <w:tc>
          <w:tcPr>
            <w:tcW w:w="550" w:type="pct"/>
            <w:tcBorders>
              <w:top w:val="nil"/>
              <w:left w:val="nil"/>
              <w:bottom w:val="nil"/>
              <w:right w:val="nil"/>
            </w:tcBorders>
            <w:vAlign w:val="center"/>
          </w:tcPr>
          <w:p w14:paraId="02E8DEA1" w14:textId="7331CB86" w:rsidR="005B3F83" w:rsidRPr="008C60EC" w:rsidRDefault="005B3F83" w:rsidP="005B3F83">
            <w:pPr>
              <w:pStyle w:val="Numbertablecolumnheading-centered"/>
            </w:pPr>
            <w:r w:rsidRPr="00726273">
              <w:rPr>
                <w:rFonts w:asciiTheme="minorHAnsi" w:hAnsiTheme="minorHAnsi" w:cstheme="minorHAnsi"/>
              </w:rPr>
              <w:t>17</w:t>
            </w:r>
          </w:p>
        </w:tc>
        <w:tc>
          <w:tcPr>
            <w:tcW w:w="693" w:type="pct"/>
            <w:tcBorders>
              <w:top w:val="nil"/>
              <w:left w:val="nil"/>
              <w:bottom w:val="nil"/>
              <w:right w:val="nil"/>
            </w:tcBorders>
            <w:vAlign w:val="center"/>
          </w:tcPr>
          <w:p w14:paraId="3AB17758" w14:textId="5859C6FE" w:rsidR="005B3F83" w:rsidRPr="008C60EC" w:rsidRDefault="005B3F83" w:rsidP="005B3F83">
            <w:pPr>
              <w:pStyle w:val="Numbertablecolumnheading-centered"/>
            </w:pPr>
            <w:r w:rsidRPr="00726273">
              <w:rPr>
                <w:rFonts w:asciiTheme="minorHAnsi" w:hAnsiTheme="minorHAnsi" w:cstheme="minorHAnsi"/>
              </w:rPr>
              <w:t>216,000</w:t>
            </w:r>
          </w:p>
        </w:tc>
        <w:tc>
          <w:tcPr>
            <w:tcW w:w="644" w:type="pct"/>
            <w:tcBorders>
              <w:top w:val="nil"/>
              <w:left w:val="nil"/>
              <w:bottom w:val="nil"/>
              <w:right w:val="nil"/>
            </w:tcBorders>
            <w:vAlign w:val="center"/>
          </w:tcPr>
          <w:p w14:paraId="453C2EEE" w14:textId="0733ED19" w:rsidR="005B3F83" w:rsidRPr="008C60EC" w:rsidRDefault="005B3F83" w:rsidP="005B3F83">
            <w:pPr>
              <w:pStyle w:val="Numbertablecolumnheading-centered"/>
            </w:pPr>
            <w:r w:rsidRPr="00726273">
              <w:rPr>
                <w:rFonts w:asciiTheme="minorHAnsi" w:hAnsiTheme="minorHAnsi" w:cstheme="minorHAnsi"/>
              </w:rPr>
              <w:t>14</w:t>
            </w:r>
          </w:p>
        </w:tc>
        <w:tc>
          <w:tcPr>
            <w:tcW w:w="684" w:type="pct"/>
            <w:tcBorders>
              <w:top w:val="nil"/>
              <w:left w:val="nil"/>
              <w:bottom w:val="nil"/>
              <w:right w:val="nil"/>
            </w:tcBorders>
            <w:vAlign w:val="center"/>
          </w:tcPr>
          <w:p w14:paraId="30E147A3" w14:textId="6E1B7DFE" w:rsidR="005B3F83" w:rsidRPr="008C60EC" w:rsidRDefault="005B3F83" w:rsidP="005B3F83">
            <w:pPr>
              <w:pStyle w:val="Numbertablecolumnheading-centered"/>
            </w:pPr>
            <w:r w:rsidRPr="00726273">
              <w:rPr>
                <w:rFonts w:asciiTheme="minorHAnsi" w:hAnsiTheme="minorHAnsi" w:cstheme="minorHAnsi"/>
              </w:rPr>
              <w:t>89,000</w:t>
            </w:r>
          </w:p>
        </w:tc>
        <w:tc>
          <w:tcPr>
            <w:tcW w:w="652" w:type="pct"/>
            <w:tcBorders>
              <w:top w:val="nil"/>
              <w:left w:val="nil"/>
              <w:bottom w:val="nil"/>
              <w:right w:val="nil"/>
            </w:tcBorders>
            <w:vAlign w:val="center"/>
          </w:tcPr>
          <w:p w14:paraId="4D8616A0" w14:textId="2FBD7608" w:rsidR="005B3F83" w:rsidRPr="008C60EC" w:rsidRDefault="005B3F83" w:rsidP="005B3F83">
            <w:pPr>
              <w:pStyle w:val="Numbertablecolumnheading-centered"/>
            </w:pPr>
            <w:r w:rsidRPr="00726273">
              <w:rPr>
                <w:rFonts w:asciiTheme="minorHAnsi" w:hAnsiTheme="minorHAnsi" w:cstheme="minorHAnsi"/>
              </w:rPr>
              <w:t>19</w:t>
            </w:r>
          </w:p>
        </w:tc>
        <w:tc>
          <w:tcPr>
            <w:tcW w:w="679" w:type="pct"/>
            <w:tcBorders>
              <w:top w:val="nil"/>
              <w:left w:val="nil"/>
              <w:bottom w:val="nil"/>
              <w:right w:val="single" w:sz="4" w:space="0" w:color="auto"/>
            </w:tcBorders>
            <w:vAlign w:val="center"/>
          </w:tcPr>
          <w:p w14:paraId="2C1ECCDF" w14:textId="1265D505" w:rsidR="005B3F83" w:rsidRPr="008C60EC" w:rsidRDefault="005B3F83" w:rsidP="005B3F83">
            <w:pPr>
              <w:pStyle w:val="Numbertablecolumnheading-centered"/>
            </w:pPr>
            <w:r w:rsidRPr="00726273">
              <w:rPr>
                <w:rFonts w:asciiTheme="minorHAnsi" w:hAnsiTheme="minorHAnsi" w:cstheme="minorHAnsi"/>
              </w:rPr>
              <w:t>126,000</w:t>
            </w:r>
          </w:p>
        </w:tc>
      </w:tr>
      <w:tr w:rsidR="009B128A" w14:paraId="49971A06" w14:textId="77777777" w:rsidTr="002650F6">
        <w:trPr>
          <w:trHeight w:val="284"/>
        </w:trPr>
        <w:tc>
          <w:tcPr>
            <w:tcW w:w="1098" w:type="pct"/>
            <w:tcBorders>
              <w:top w:val="nil"/>
              <w:left w:val="single" w:sz="4" w:space="0" w:color="auto"/>
              <w:bottom w:val="nil"/>
              <w:right w:val="nil"/>
            </w:tcBorders>
          </w:tcPr>
          <w:p w14:paraId="04F8E602" w14:textId="7D891DC8" w:rsidR="005B3F83" w:rsidRDefault="00A02E1C" w:rsidP="005B3F83">
            <w:pPr>
              <w:pStyle w:val="Numbertablecolumnheading-leftaligned"/>
            </w:pPr>
            <w:r>
              <w:rPr>
                <w:rFonts w:asciiTheme="minorHAnsi" w:hAnsiTheme="minorHAnsi" w:cstheme="minorHAnsi"/>
              </w:rPr>
              <w:t xml:space="preserve">  </w:t>
            </w:r>
            <w:r w:rsidR="005B3F83" w:rsidRPr="00726273">
              <w:rPr>
                <w:rFonts w:asciiTheme="minorHAnsi" w:hAnsiTheme="minorHAnsi" w:cstheme="minorHAnsi"/>
              </w:rPr>
              <w:t xml:space="preserve">65+ years </w:t>
            </w:r>
          </w:p>
        </w:tc>
        <w:tc>
          <w:tcPr>
            <w:tcW w:w="550" w:type="pct"/>
            <w:tcBorders>
              <w:top w:val="nil"/>
              <w:left w:val="nil"/>
              <w:bottom w:val="nil"/>
              <w:right w:val="nil"/>
            </w:tcBorders>
            <w:vAlign w:val="center"/>
          </w:tcPr>
          <w:p w14:paraId="5B9C85CF" w14:textId="67A9D890" w:rsidR="005B3F83" w:rsidRPr="008C60EC" w:rsidRDefault="005B3F83" w:rsidP="005B3F83">
            <w:pPr>
              <w:pStyle w:val="Numbertablecolumnheading-centered"/>
            </w:pPr>
            <w:r w:rsidRPr="00726273">
              <w:rPr>
                <w:rFonts w:asciiTheme="minorHAnsi" w:hAnsiTheme="minorHAnsi" w:cstheme="minorHAnsi"/>
              </w:rPr>
              <w:t>35</w:t>
            </w:r>
          </w:p>
        </w:tc>
        <w:tc>
          <w:tcPr>
            <w:tcW w:w="693" w:type="pct"/>
            <w:tcBorders>
              <w:top w:val="nil"/>
              <w:left w:val="nil"/>
              <w:bottom w:val="nil"/>
              <w:right w:val="nil"/>
            </w:tcBorders>
            <w:vAlign w:val="center"/>
          </w:tcPr>
          <w:p w14:paraId="1EC6410D" w14:textId="79E5EB8B" w:rsidR="005B3F83" w:rsidRPr="008C60EC" w:rsidRDefault="005B3F83" w:rsidP="005B3F83">
            <w:pPr>
              <w:pStyle w:val="Numbertablecolumnheading-centered"/>
            </w:pPr>
            <w:r w:rsidRPr="00726273">
              <w:rPr>
                <w:rFonts w:asciiTheme="minorHAnsi" w:hAnsiTheme="minorHAnsi" w:cstheme="minorHAnsi"/>
              </w:rPr>
              <w:t>283,000</w:t>
            </w:r>
          </w:p>
        </w:tc>
        <w:tc>
          <w:tcPr>
            <w:tcW w:w="644" w:type="pct"/>
            <w:tcBorders>
              <w:top w:val="nil"/>
              <w:left w:val="nil"/>
              <w:bottom w:val="nil"/>
              <w:right w:val="nil"/>
            </w:tcBorders>
            <w:vAlign w:val="center"/>
          </w:tcPr>
          <w:p w14:paraId="36BA43F3" w14:textId="048A2E88" w:rsidR="005B3F83" w:rsidRPr="008C60EC" w:rsidRDefault="005B3F83" w:rsidP="005B3F83">
            <w:pPr>
              <w:pStyle w:val="Numbertablecolumnheading-centered"/>
            </w:pPr>
            <w:r w:rsidRPr="00726273">
              <w:rPr>
                <w:rFonts w:asciiTheme="minorHAnsi" w:hAnsiTheme="minorHAnsi" w:cstheme="minorHAnsi"/>
              </w:rPr>
              <w:t>31</w:t>
            </w:r>
          </w:p>
        </w:tc>
        <w:tc>
          <w:tcPr>
            <w:tcW w:w="684" w:type="pct"/>
            <w:tcBorders>
              <w:top w:val="nil"/>
              <w:left w:val="nil"/>
              <w:bottom w:val="nil"/>
              <w:right w:val="nil"/>
            </w:tcBorders>
            <w:vAlign w:val="center"/>
          </w:tcPr>
          <w:p w14:paraId="22CD8BE8" w14:textId="4427D4C6" w:rsidR="005B3F83" w:rsidRPr="008C60EC" w:rsidRDefault="005B3F83" w:rsidP="005B3F83">
            <w:pPr>
              <w:pStyle w:val="Numbertablecolumnheading-centered"/>
            </w:pPr>
            <w:r w:rsidRPr="00726273">
              <w:rPr>
                <w:rFonts w:asciiTheme="minorHAnsi" w:hAnsiTheme="minorHAnsi" w:cstheme="minorHAnsi"/>
              </w:rPr>
              <w:t>119,000</w:t>
            </w:r>
          </w:p>
        </w:tc>
        <w:tc>
          <w:tcPr>
            <w:tcW w:w="652" w:type="pct"/>
            <w:tcBorders>
              <w:top w:val="nil"/>
              <w:left w:val="nil"/>
              <w:bottom w:val="nil"/>
              <w:right w:val="nil"/>
            </w:tcBorders>
            <w:vAlign w:val="center"/>
          </w:tcPr>
          <w:p w14:paraId="427D19D3" w14:textId="471A80B4" w:rsidR="005B3F83" w:rsidRPr="008C60EC" w:rsidRDefault="005B3F83" w:rsidP="005B3F83">
            <w:pPr>
              <w:pStyle w:val="Numbertablecolumnheading-centered"/>
            </w:pPr>
            <w:r w:rsidRPr="00726273">
              <w:rPr>
                <w:rFonts w:asciiTheme="minorHAnsi" w:hAnsiTheme="minorHAnsi" w:cstheme="minorHAnsi"/>
              </w:rPr>
              <w:t>38</w:t>
            </w:r>
          </w:p>
        </w:tc>
        <w:tc>
          <w:tcPr>
            <w:tcW w:w="679" w:type="pct"/>
            <w:tcBorders>
              <w:top w:val="nil"/>
              <w:left w:val="nil"/>
              <w:bottom w:val="nil"/>
              <w:right w:val="single" w:sz="4" w:space="0" w:color="auto"/>
            </w:tcBorders>
            <w:vAlign w:val="center"/>
          </w:tcPr>
          <w:p w14:paraId="5454859F" w14:textId="5EC84BE3" w:rsidR="005B3F83" w:rsidRPr="008C60EC" w:rsidRDefault="005B3F83" w:rsidP="005B3F83">
            <w:pPr>
              <w:pStyle w:val="Numbertablecolumnheading-centered"/>
            </w:pPr>
            <w:r w:rsidRPr="00726273">
              <w:rPr>
                <w:rFonts w:asciiTheme="minorHAnsi" w:hAnsiTheme="minorHAnsi" w:cstheme="minorHAnsi"/>
              </w:rPr>
              <w:t>164,000</w:t>
            </w:r>
          </w:p>
        </w:tc>
      </w:tr>
      <w:tr w:rsidR="009B128A" w14:paraId="4BF6D9FF" w14:textId="77777777" w:rsidTr="002650F6">
        <w:trPr>
          <w:trHeight w:val="284"/>
        </w:trPr>
        <w:tc>
          <w:tcPr>
            <w:tcW w:w="1098" w:type="pct"/>
            <w:tcBorders>
              <w:top w:val="nil"/>
              <w:left w:val="single" w:sz="4" w:space="0" w:color="auto"/>
              <w:bottom w:val="single" w:sz="4" w:space="0" w:color="auto"/>
              <w:right w:val="nil"/>
            </w:tcBorders>
          </w:tcPr>
          <w:p w14:paraId="56748208" w14:textId="5054A2A6" w:rsidR="005B3F83" w:rsidRPr="00BB1E87" w:rsidRDefault="005B3F83" w:rsidP="005B3F83">
            <w:pPr>
              <w:pStyle w:val="Numbertablecolumnheading-leftaligned"/>
            </w:pPr>
            <w:r w:rsidRPr="00726273">
              <w:rPr>
                <w:rFonts w:asciiTheme="minorHAnsi" w:hAnsiTheme="minorHAnsi" w:cstheme="minorHAnsi"/>
              </w:rPr>
              <w:t>Total</w:t>
            </w:r>
          </w:p>
        </w:tc>
        <w:tc>
          <w:tcPr>
            <w:tcW w:w="550" w:type="pct"/>
            <w:tcBorders>
              <w:top w:val="nil"/>
              <w:left w:val="nil"/>
              <w:bottom w:val="single" w:sz="4" w:space="0" w:color="auto"/>
              <w:right w:val="nil"/>
            </w:tcBorders>
            <w:vAlign w:val="center"/>
          </w:tcPr>
          <w:p w14:paraId="113771AB" w14:textId="45141CC8" w:rsidR="005B3F83" w:rsidRPr="008C60EC" w:rsidRDefault="005B3F83" w:rsidP="005B3F83">
            <w:pPr>
              <w:pStyle w:val="Numbertablecolumnheading-centered"/>
            </w:pPr>
            <w:r w:rsidRPr="00726273">
              <w:rPr>
                <w:rFonts w:asciiTheme="minorHAnsi" w:hAnsiTheme="minorHAnsi" w:cstheme="minorHAnsi"/>
              </w:rPr>
              <w:t>17</w:t>
            </w:r>
          </w:p>
        </w:tc>
        <w:tc>
          <w:tcPr>
            <w:tcW w:w="693" w:type="pct"/>
            <w:tcBorders>
              <w:top w:val="nil"/>
              <w:left w:val="nil"/>
              <w:bottom w:val="single" w:sz="4" w:space="0" w:color="auto"/>
              <w:right w:val="nil"/>
            </w:tcBorders>
            <w:vAlign w:val="center"/>
          </w:tcPr>
          <w:p w14:paraId="171071E8" w14:textId="2FA0EBEA" w:rsidR="005B3F83" w:rsidRPr="008C60EC" w:rsidRDefault="005B3F83" w:rsidP="005B3F83">
            <w:pPr>
              <w:pStyle w:val="Numbertablecolumnheading-centered"/>
            </w:pPr>
            <w:r w:rsidRPr="00726273">
              <w:rPr>
                <w:rFonts w:asciiTheme="minorHAnsi" w:hAnsiTheme="minorHAnsi" w:cstheme="minorHAnsi"/>
              </w:rPr>
              <w:t>851,000</w:t>
            </w:r>
          </w:p>
        </w:tc>
        <w:tc>
          <w:tcPr>
            <w:tcW w:w="644" w:type="pct"/>
            <w:tcBorders>
              <w:top w:val="nil"/>
              <w:left w:val="nil"/>
              <w:bottom w:val="single" w:sz="4" w:space="0" w:color="auto"/>
              <w:right w:val="nil"/>
            </w:tcBorders>
            <w:vAlign w:val="center"/>
          </w:tcPr>
          <w:p w14:paraId="4EAD5129" w14:textId="4B873FE2" w:rsidR="005B3F83" w:rsidRPr="008C60EC" w:rsidRDefault="005B3F83" w:rsidP="005B3F83">
            <w:pPr>
              <w:pStyle w:val="Numbertablecolumnheading-centered"/>
            </w:pPr>
            <w:r w:rsidRPr="00726273">
              <w:rPr>
                <w:rFonts w:asciiTheme="minorHAnsi" w:hAnsiTheme="minorHAnsi" w:cstheme="minorHAnsi"/>
              </w:rPr>
              <w:t>15</w:t>
            </w:r>
          </w:p>
        </w:tc>
        <w:tc>
          <w:tcPr>
            <w:tcW w:w="684" w:type="pct"/>
            <w:tcBorders>
              <w:top w:val="nil"/>
              <w:left w:val="nil"/>
              <w:bottom w:val="single" w:sz="4" w:space="0" w:color="auto"/>
              <w:right w:val="nil"/>
            </w:tcBorders>
            <w:vAlign w:val="center"/>
          </w:tcPr>
          <w:p w14:paraId="6A0F6D14" w14:textId="1EAA8CB5" w:rsidR="005B3F83" w:rsidRPr="008C60EC" w:rsidRDefault="005B3F83" w:rsidP="005B3F83">
            <w:pPr>
              <w:pStyle w:val="Numbertablecolumnheading-centered"/>
            </w:pPr>
            <w:r w:rsidRPr="00726273">
              <w:rPr>
                <w:rFonts w:asciiTheme="minorHAnsi" w:hAnsiTheme="minorHAnsi" w:cstheme="minorHAnsi"/>
              </w:rPr>
              <w:t>377,000</w:t>
            </w:r>
          </w:p>
        </w:tc>
        <w:tc>
          <w:tcPr>
            <w:tcW w:w="652" w:type="pct"/>
            <w:tcBorders>
              <w:top w:val="nil"/>
              <w:left w:val="nil"/>
              <w:bottom w:val="single" w:sz="4" w:space="0" w:color="auto"/>
              <w:right w:val="nil"/>
            </w:tcBorders>
            <w:vAlign w:val="center"/>
          </w:tcPr>
          <w:p w14:paraId="6CD89AA3" w14:textId="0FE4B9CC" w:rsidR="005B3F83" w:rsidRPr="008C60EC" w:rsidRDefault="005B3F83" w:rsidP="005B3F83">
            <w:pPr>
              <w:pStyle w:val="Numbertablecolumnheading-centered"/>
            </w:pPr>
            <w:r w:rsidRPr="00726273">
              <w:rPr>
                <w:rFonts w:asciiTheme="minorHAnsi" w:hAnsiTheme="minorHAnsi" w:cstheme="minorHAnsi"/>
              </w:rPr>
              <w:t>18</w:t>
            </w:r>
          </w:p>
        </w:tc>
        <w:tc>
          <w:tcPr>
            <w:tcW w:w="679" w:type="pct"/>
            <w:tcBorders>
              <w:top w:val="nil"/>
              <w:left w:val="nil"/>
              <w:bottom w:val="single" w:sz="4" w:space="0" w:color="auto"/>
              <w:right w:val="single" w:sz="4" w:space="0" w:color="auto"/>
            </w:tcBorders>
            <w:vAlign w:val="center"/>
          </w:tcPr>
          <w:p w14:paraId="4CB16184" w14:textId="54B889DF" w:rsidR="005B3F83" w:rsidRPr="008C60EC" w:rsidRDefault="005B3F83" w:rsidP="005B3F83">
            <w:pPr>
              <w:pStyle w:val="Numbertablecolumnheading-centered"/>
            </w:pPr>
            <w:r w:rsidRPr="00726273">
              <w:rPr>
                <w:rFonts w:asciiTheme="minorHAnsi" w:hAnsiTheme="minorHAnsi" w:cstheme="minorHAnsi"/>
              </w:rPr>
              <w:t>466,000</w:t>
            </w:r>
          </w:p>
        </w:tc>
      </w:tr>
      <w:tr w:rsidR="00DF5150" w14:paraId="1E34308A" w14:textId="77777777" w:rsidTr="009B128A">
        <w:trPr>
          <w:trHeight w:val="284"/>
        </w:trPr>
        <w:tc>
          <w:tcPr>
            <w:tcW w:w="5000" w:type="pct"/>
            <w:gridSpan w:val="7"/>
            <w:tcBorders>
              <w:top w:val="single" w:sz="4" w:space="0" w:color="auto"/>
              <w:left w:val="single" w:sz="4" w:space="0" w:color="auto"/>
              <w:right w:val="single" w:sz="4" w:space="0" w:color="auto"/>
            </w:tcBorders>
            <w:vAlign w:val="center"/>
          </w:tcPr>
          <w:p w14:paraId="390B887E" w14:textId="59F78759" w:rsidR="006B1F0D" w:rsidRDefault="006B1F0D" w:rsidP="00DF5150">
            <w:pPr>
              <w:pStyle w:val="Numbertablecolumnheading-centered"/>
              <w:jc w:val="left"/>
            </w:pPr>
            <w:r w:rsidRPr="006B1F0D">
              <w:t>People with a gender other than male or female (including non-specified genders) are included in the total column</w:t>
            </w:r>
            <w:r w:rsidR="000872CB">
              <w:t xml:space="preserve"> only</w:t>
            </w:r>
            <w:r w:rsidRPr="006B1F0D">
              <w:t>.</w:t>
            </w:r>
          </w:p>
          <w:p w14:paraId="5B8526F3" w14:textId="59194226" w:rsidR="00DF5150" w:rsidRPr="008C60EC" w:rsidRDefault="00DF5150" w:rsidP="00DF5150">
            <w:pPr>
              <w:pStyle w:val="Numbertablecolumnheading-centered"/>
              <w:jc w:val="left"/>
            </w:pPr>
            <w:r w:rsidRPr="4A07F070">
              <w:rPr>
                <w:b/>
              </w:rPr>
              <w:t>Source</w:t>
            </w:r>
            <w:r>
              <w:t>: Stats NZ</w:t>
            </w:r>
          </w:p>
        </w:tc>
      </w:tr>
    </w:tbl>
    <w:p w14:paraId="672480B8" w14:textId="63907DAE" w:rsidR="005462F8" w:rsidRDefault="005462F8" w:rsidP="005462F8">
      <w:pPr>
        <w:pStyle w:val="Heading2"/>
      </w:pPr>
      <w:bookmarkStart w:id="89" w:name="_Toc187762876"/>
      <w:bookmarkStart w:id="90" w:name="_Toc187763570"/>
      <w:bookmarkStart w:id="91" w:name="_Toc187763837"/>
      <w:bookmarkStart w:id="92" w:name="_Toc190856840"/>
      <w:r>
        <w:t>4.3 By ethnic group</w:t>
      </w:r>
      <w:bookmarkEnd w:id="89"/>
      <w:bookmarkEnd w:id="90"/>
      <w:bookmarkEnd w:id="91"/>
      <w:bookmarkEnd w:id="92"/>
    </w:p>
    <w:p w14:paraId="74A82EDD" w14:textId="7DEE71D1" w:rsidR="007A7A47" w:rsidRDefault="00D4324B" w:rsidP="00D4324B">
      <w:r>
        <w:t>Disability prevalence varie</w:t>
      </w:r>
      <w:r w:rsidR="007A7A47">
        <w:t>d</w:t>
      </w:r>
      <w:r>
        <w:t xml:space="preserve"> across ethnic groups. </w:t>
      </w:r>
    </w:p>
    <w:p w14:paraId="22498041" w14:textId="3F91577C" w:rsidR="00D4324B" w:rsidRDefault="00D4324B" w:rsidP="00D4324B">
      <w:r>
        <w:t>The disability rates for Māori</w:t>
      </w:r>
      <w:r w:rsidR="0047729F">
        <w:t xml:space="preserve"> (21 percent)</w:t>
      </w:r>
      <w:r>
        <w:t xml:space="preserve"> and European</w:t>
      </w:r>
      <w:r w:rsidR="00424B2D">
        <w:t xml:space="preserve"> (18 percent)</w:t>
      </w:r>
      <w:r>
        <w:t xml:space="preserve"> ethnic groups were higher than the national rate (17 percent)</w:t>
      </w:r>
      <w:r w:rsidR="00B4759A">
        <w:t>,</w:t>
      </w:r>
      <w:r>
        <w:t xml:space="preserve"> and the Asian rate </w:t>
      </w:r>
      <w:r w:rsidR="00424B2D">
        <w:t xml:space="preserve">(9 percent) </w:t>
      </w:r>
      <w:r>
        <w:t xml:space="preserve">was lower. </w:t>
      </w:r>
    </w:p>
    <w:p w14:paraId="3A30403C" w14:textId="4F2D5D59" w:rsidR="00C562FA" w:rsidRPr="00E6628C" w:rsidRDefault="00C562FA" w:rsidP="00C562FA">
      <w:pPr>
        <w:pStyle w:val="Figureandtablenumbers"/>
        <w:spacing w:before="0"/>
      </w:pPr>
      <w:r>
        <w:t xml:space="preserve">Table </w:t>
      </w:r>
      <w:r w:rsidR="00F249DB">
        <w:t>4</w:t>
      </w:r>
    </w:p>
    <w:p w14:paraId="681D0E58" w14:textId="653119CC" w:rsidR="00C562FA" w:rsidRPr="000275D8" w:rsidRDefault="00F249DB" w:rsidP="00C562FA">
      <w:pPr>
        <w:pStyle w:val="Tabletitle-forhiding"/>
      </w:pPr>
      <w:bookmarkStart w:id="93" w:name="_Toc190426273"/>
      <w:r>
        <w:t>4</w:t>
      </w:r>
      <w:r w:rsidR="00C562FA">
        <w:t xml:space="preserve"> Disability prevalence by ethnic group for children and adults</w:t>
      </w:r>
      <w:bookmarkEnd w:id="93"/>
      <w:r w:rsidR="00C562FA">
        <w:t xml:space="preserve"> </w:t>
      </w:r>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27"/>
        <w:gridCol w:w="1145"/>
        <w:gridCol w:w="1250"/>
        <w:gridCol w:w="1161"/>
        <w:gridCol w:w="1233"/>
        <w:gridCol w:w="1176"/>
        <w:gridCol w:w="1224"/>
      </w:tblGrid>
      <w:tr w:rsidR="00C562FA" w14:paraId="76A12869" w14:textId="77777777" w:rsidTr="009B1C87">
        <w:trPr>
          <w:trHeight w:val="413"/>
        </w:trPr>
        <w:tc>
          <w:tcPr>
            <w:tcW w:w="5000" w:type="pct"/>
            <w:gridSpan w:val="7"/>
            <w:tcBorders>
              <w:left w:val="single" w:sz="4" w:space="0" w:color="auto"/>
              <w:right w:val="single" w:sz="4" w:space="0" w:color="auto"/>
            </w:tcBorders>
          </w:tcPr>
          <w:p w14:paraId="3DBC29EC" w14:textId="0BD5CFEC" w:rsidR="00C562FA" w:rsidRPr="00B40B92" w:rsidRDefault="00C562FA" w:rsidP="009B1C87">
            <w:pPr>
              <w:pStyle w:val="Tabletitle1"/>
            </w:pPr>
            <w:r>
              <w:t xml:space="preserve">Disability prevalence by ethnic group for children and adults </w:t>
            </w:r>
          </w:p>
        </w:tc>
      </w:tr>
      <w:tr w:rsidR="00C562FA" w14:paraId="6F86A862" w14:textId="77777777" w:rsidTr="00424B2D">
        <w:trPr>
          <w:trHeight w:val="325"/>
        </w:trPr>
        <w:tc>
          <w:tcPr>
            <w:tcW w:w="1013" w:type="pct"/>
            <w:vMerge w:val="restart"/>
            <w:tcBorders>
              <w:left w:val="single" w:sz="4" w:space="0" w:color="auto"/>
            </w:tcBorders>
            <w:vAlign w:val="center"/>
          </w:tcPr>
          <w:p w14:paraId="1F9830A5" w14:textId="3A25CF45" w:rsidR="00C562FA" w:rsidRPr="004A691B" w:rsidRDefault="00D37CD2" w:rsidP="009B1C87">
            <w:pPr>
              <w:pStyle w:val="Numbertablecolumnheading-leftaligned"/>
            </w:pPr>
            <w:r>
              <w:t>Ethnic</w:t>
            </w:r>
            <w:r w:rsidR="00C562FA">
              <w:t xml:space="preserve"> group</w:t>
            </w:r>
          </w:p>
        </w:tc>
        <w:tc>
          <w:tcPr>
            <w:tcW w:w="1328" w:type="pct"/>
            <w:gridSpan w:val="2"/>
            <w:vAlign w:val="center"/>
          </w:tcPr>
          <w:p w14:paraId="2C8EDE05" w14:textId="77777777" w:rsidR="00C562FA" w:rsidRDefault="00C562FA" w:rsidP="009B1C87">
            <w:pPr>
              <w:pStyle w:val="Numbertablecolumnheading-centered"/>
            </w:pPr>
            <w:r>
              <w:t>Total</w:t>
            </w:r>
          </w:p>
        </w:tc>
        <w:tc>
          <w:tcPr>
            <w:tcW w:w="1328" w:type="pct"/>
            <w:gridSpan w:val="2"/>
            <w:vAlign w:val="center"/>
          </w:tcPr>
          <w:p w14:paraId="7FE82281" w14:textId="6BDDCD31" w:rsidR="00C562FA" w:rsidRPr="00E409C9" w:rsidRDefault="0022182A" w:rsidP="009B1C87">
            <w:pPr>
              <w:pStyle w:val="Numbertablecolumnheading-centered"/>
            </w:pPr>
            <w:r>
              <w:t>Children (0–14 years)</w:t>
            </w:r>
          </w:p>
        </w:tc>
        <w:tc>
          <w:tcPr>
            <w:tcW w:w="1331" w:type="pct"/>
            <w:gridSpan w:val="2"/>
            <w:tcBorders>
              <w:right w:val="single" w:sz="4" w:space="0" w:color="auto"/>
            </w:tcBorders>
            <w:vAlign w:val="center"/>
          </w:tcPr>
          <w:p w14:paraId="0780B404" w14:textId="263438B4" w:rsidR="00C562FA" w:rsidRPr="00B40B92" w:rsidRDefault="0022182A" w:rsidP="009B1C87">
            <w:pPr>
              <w:pStyle w:val="Numbertablecolumnheading-centered"/>
            </w:pPr>
            <w:r>
              <w:t>Adults (15+ years)</w:t>
            </w:r>
          </w:p>
        </w:tc>
      </w:tr>
      <w:tr w:rsidR="00C562FA" w14:paraId="326B6506" w14:textId="77777777" w:rsidTr="009B128A">
        <w:trPr>
          <w:trHeight w:val="277"/>
        </w:trPr>
        <w:tc>
          <w:tcPr>
            <w:tcW w:w="1013" w:type="pct"/>
            <w:vMerge/>
            <w:tcBorders>
              <w:left w:val="single" w:sz="4" w:space="0" w:color="auto"/>
              <w:bottom w:val="single" w:sz="4" w:space="0" w:color="auto"/>
            </w:tcBorders>
          </w:tcPr>
          <w:p w14:paraId="1BF6BAE1" w14:textId="77777777" w:rsidR="00C562FA" w:rsidRDefault="00C562FA" w:rsidP="009B1C87"/>
        </w:tc>
        <w:tc>
          <w:tcPr>
            <w:tcW w:w="635" w:type="pct"/>
            <w:tcBorders>
              <w:bottom w:val="single" w:sz="4" w:space="0" w:color="auto"/>
            </w:tcBorders>
          </w:tcPr>
          <w:p w14:paraId="636C0634" w14:textId="77777777" w:rsidR="00C562FA" w:rsidRDefault="00C562FA" w:rsidP="009B1C87">
            <w:pPr>
              <w:pStyle w:val="Numbertablecolumnheading-centered"/>
            </w:pPr>
            <w:r>
              <w:t>Disability rate (%)</w:t>
            </w:r>
          </w:p>
        </w:tc>
        <w:tc>
          <w:tcPr>
            <w:tcW w:w="693" w:type="pct"/>
            <w:tcBorders>
              <w:bottom w:val="single" w:sz="4" w:space="0" w:color="auto"/>
            </w:tcBorders>
          </w:tcPr>
          <w:p w14:paraId="4236E922" w14:textId="77777777" w:rsidR="00C562FA" w:rsidRDefault="00C562FA" w:rsidP="009B1C87">
            <w:pPr>
              <w:pStyle w:val="Numbertablecolumnheading-centered"/>
            </w:pPr>
            <w:r>
              <w:t>Number of disabled people</w:t>
            </w:r>
          </w:p>
        </w:tc>
        <w:tc>
          <w:tcPr>
            <w:tcW w:w="644" w:type="pct"/>
            <w:tcBorders>
              <w:bottom w:val="single" w:sz="4" w:space="0" w:color="auto"/>
              <w:right w:val="single" w:sz="4" w:space="0" w:color="auto"/>
            </w:tcBorders>
          </w:tcPr>
          <w:p w14:paraId="4F9A9AF0" w14:textId="77777777" w:rsidR="00C562FA" w:rsidRPr="00BB1E87" w:rsidRDefault="00C562FA" w:rsidP="009B1C87">
            <w:pPr>
              <w:pStyle w:val="Numbertablecolumnheading-centered"/>
            </w:pPr>
            <w:r>
              <w:t>Disability rate (%)</w:t>
            </w:r>
          </w:p>
        </w:tc>
        <w:tc>
          <w:tcPr>
            <w:tcW w:w="684" w:type="pct"/>
            <w:tcBorders>
              <w:bottom w:val="single" w:sz="4" w:space="0" w:color="auto"/>
              <w:right w:val="single" w:sz="4" w:space="0" w:color="auto"/>
            </w:tcBorders>
          </w:tcPr>
          <w:p w14:paraId="7936BE01" w14:textId="0297DEE0" w:rsidR="00C562FA" w:rsidRPr="00BB1E87" w:rsidRDefault="00C562FA" w:rsidP="009B1C87">
            <w:pPr>
              <w:pStyle w:val="Numbertablecolumnheading-centered"/>
            </w:pPr>
            <w:r>
              <w:t xml:space="preserve">Number of disabled </w:t>
            </w:r>
            <w:r w:rsidR="00823359">
              <w:t>children</w:t>
            </w:r>
          </w:p>
        </w:tc>
        <w:tc>
          <w:tcPr>
            <w:tcW w:w="652" w:type="pct"/>
            <w:tcBorders>
              <w:bottom w:val="single" w:sz="4" w:space="0" w:color="auto"/>
              <w:right w:val="single" w:sz="4" w:space="0" w:color="auto"/>
            </w:tcBorders>
          </w:tcPr>
          <w:p w14:paraId="44241DE1" w14:textId="77777777" w:rsidR="00C562FA" w:rsidRPr="00BB1E87" w:rsidRDefault="00C562FA" w:rsidP="009B1C87">
            <w:pPr>
              <w:pStyle w:val="Numbertablecolumnheading-centered"/>
            </w:pPr>
            <w:r>
              <w:t>Disability rate (%)</w:t>
            </w:r>
          </w:p>
        </w:tc>
        <w:tc>
          <w:tcPr>
            <w:tcW w:w="679" w:type="pct"/>
            <w:tcBorders>
              <w:bottom w:val="single" w:sz="4" w:space="0" w:color="auto"/>
              <w:right w:val="single" w:sz="4" w:space="0" w:color="auto"/>
            </w:tcBorders>
          </w:tcPr>
          <w:p w14:paraId="389B21C5" w14:textId="3F2FA47E" w:rsidR="00C562FA" w:rsidRPr="00BB1E87" w:rsidRDefault="00C562FA" w:rsidP="009B1C87">
            <w:pPr>
              <w:pStyle w:val="Numbertablecolumnheading-centered"/>
            </w:pPr>
            <w:r>
              <w:t xml:space="preserve">Number of disabled </w:t>
            </w:r>
            <w:r w:rsidR="00823359">
              <w:t>adults</w:t>
            </w:r>
          </w:p>
        </w:tc>
      </w:tr>
      <w:tr w:rsidR="009B128A" w14:paraId="51B14679" w14:textId="77777777" w:rsidTr="009B128A">
        <w:trPr>
          <w:trHeight w:val="140"/>
        </w:trPr>
        <w:tc>
          <w:tcPr>
            <w:tcW w:w="1013" w:type="pct"/>
            <w:tcBorders>
              <w:top w:val="single" w:sz="4" w:space="0" w:color="auto"/>
              <w:left w:val="single" w:sz="4" w:space="0" w:color="auto"/>
              <w:bottom w:val="nil"/>
              <w:right w:val="nil"/>
            </w:tcBorders>
          </w:tcPr>
          <w:p w14:paraId="5D0F6494" w14:textId="647D46E4" w:rsidR="00A16600" w:rsidRDefault="00A16600" w:rsidP="00A16600">
            <w:pPr>
              <w:pStyle w:val="Numbertablecolumnheading-leftaligned"/>
            </w:pPr>
            <w:r w:rsidRPr="00884064">
              <w:t>Māori</w:t>
            </w:r>
          </w:p>
        </w:tc>
        <w:tc>
          <w:tcPr>
            <w:tcW w:w="635" w:type="pct"/>
            <w:tcBorders>
              <w:top w:val="single" w:sz="4" w:space="0" w:color="auto"/>
              <w:left w:val="nil"/>
              <w:bottom w:val="nil"/>
              <w:right w:val="nil"/>
            </w:tcBorders>
          </w:tcPr>
          <w:p w14:paraId="329273F5" w14:textId="14276CEC" w:rsidR="00A16600" w:rsidRPr="00676A28" w:rsidRDefault="00A16600" w:rsidP="00A16600">
            <w:pPr>
              <w:pStyle w:val="Numbertablecolumnheading-centered"/>
            </w:pPr>
            <w:r w:rsidRPr="00884064">
              <w:t>21</w:t>
            </w:r>
          </w:p>
        </w:tc>
        <w:tc>
          <w:tcPr>
            <w:tcW w:w="693" w:type="pct"/>
            <w:tcBorders>
              <w:top w:val="single" w:sz="4" w:space="0" w:color="auto"/>
              <w:left w:val="nil"/>
              <w:bottom w:val="nil"/>
              <w:right w:val="nil"/>
            </w:tcBorders>
          </w:tcPr>
          <w:p w14:paraId="377750F3" w14:textId="23671843" w:rsidR="00A16600" w:rsidRPr="00676A28" w:rsidRDefault="00A16600" w:rsidP="00A16600">
            <w:pPr>
              <w:pStyle w:val="Numbertablecolumnheading-centered"/>
            </w:pPr>
            <w:r w:rsidRPr="00884064">
              <w:t>184,000</w:t>
            </w:r>
          </w:p>
        </w:tc>
        <w:tc>
          <w:tcPr>
            <w:tcW w:w="644" w:type="pct"/>
            <w:tcBorders>
              <w:top w:val="single" w:sz="4" w:space="0" w:color="auto"/>
              <w:left w:val="nil"/>
              <w:bottom w:val="nil"/>
              <w:right w:val="nil"/>
            </w:tcBorders>
          </w:tcPr>
          <w:p w14:paraId="77695709" w14:textId="2396BF8E" w:rsidR="00A16600" w:rsidRPr="00676A28" w:rsidRDefault="00A16600" w:rsidP="00A16600">
            <w:pPr>
              <w:pStyle w:val="Numbertablecolumnheading-centered"/>
            </w:pPr>
            <w:r w:rsidRPr="00884064">
              <w:t>14</w:t>
            </w:r>
          </w:p>
        </w:tc>
        <w:tc>
          <w:tcPr>
            <w:tcW w:w="684" w:type="pct"/>
            <w:tcBorders>
              <w:top w:val="single" w:sz="4" w:space="0" w:color="auto"/>
              <w:left w:val="nil"/>
              <w:bottom w:val="nil"/>
              <w:right w:val="nil"/>
            </w:tcBorders>
          </w:tcPr>
          <w:p w14:paraId="1F3CEF87" w14:textId="43A00897" w:rsidR="00A16600" w:rsidRPr="00676A28" w:rsidRDefault="00A16600" w:rsidP="00A16600">
            <w:pPr>
              <w:pStyle w:val="Numbertablecolumnheading-centered"/>
            </w:pPr>
            <w:r w:rsidRPr="00884064">
              <w:t>38,000</w:t>
            </w:r>
          </w:p>
        </w:tc>
        <w:tc>
          <w:tcPr>
            <w:tcW w:w="652" w:type="pct"/>
            <w:tcBorders>
              <w:top w:val="single" w:sz="4" w:space="0" w:color="auto"/>
              <w:left w:val="nil"/>
              <w:bottom w:val="nil"/>
              <w:right w:val="nil"/>
            </w:tcBorders>
          </w:tcPr>
          <w:p w14:paraId="7FBDE03C" w14:textId="7202B4D7" w:rsidR="00A16600" w:rsidRPr="00676A28" w:rsidRDefault="00A16600" w:rsidP="00A16600">
            <w:pPr>
              <w:pStyle w:val="Numbertablecolumnheading-centered"/>
            </w:pPr>
            <w:r w:rsidRPr="00884064">
              <w:t>24</w:t>
            </w:r>
          </w:p>
        </w:tc>
        <w:tc>
          <w:tcPr>
            <w:tcW w:w="679" w:type="pct"/>
            <w:tcBorders>
              <w:top w:val="single" w:sz="4" w:space="0" w:color="auto"/>
              <w:left w:val="nil"/>
              <w:bottom w:val="nil"/>
              <w:right w:val="single" w:sz="4" w:space="0" w:color="auto"/>
            </w:tcBorders>
          </w:tcPr>
          <w:p w14:paraId="325067F7" w14:textId="005D8E80" w:rsidR="00A16600" w:rsidRPr="00676A28" w:rsidRDefault="00A16600" w:rsidP="00A16600">
            <w:pPr>
              <w:pStyle w:val="Numbertablecolumnheading-centered"/>
            </w:pPr>
            <w:r w:rsidRPr="00884064">
              <w:t>146,000</w:t>
            </w:r>
          </w:p>
        </w:tc>
      </w:tr>
      <w:tr w:rsidR="009B128A" w14:paraId="7EEA49AF" w14:textId="77777777" w:rsidTr="009B128A">
        <w:trPr>
          <w:trHeight w:val="284"/>
        </w:trPr>
        <w:tc>
          <w:tcPr>
            <w:tcW w:w="1013" w:type="pct"/>
            <w:tcBorders>
              <w:top w:val="nil"/>
              <w:left w:val="single" w:sz="4" w:space="0" w:color="auto"/>
              <w:bottom w:val="nil"/>
              <w:right w:val="nil"/>
            </w:tcBorders>
          </w:tcPr>
          <w:p w14:paraId="18E95E56" w14:textId="7FCAB43B" w:rsidR="00A16600" w:rsidRPr="00E409C9" w:rsidRDefault="00A16600" w:rsidP="00A16600">
            <w:pPr>
              <w:pStyle w:val="Numbertablecolumnheading-leftaligned"/>
            </w:pPr>
            <w:r w:rsidRPr="00884064">
              <w:t>European</w:t>
            </w:r>
          </w:p>
        </w:tc>
        <w:tc>
          <w:tcPr>
            <w:tcW w:w="635" w:type="pct"/>
            <w:tcBorders>
              <w:top w:val="nil"/>
              <w:left w:val="nil"/>
              <w:bottom w:val="nil"/>
              <w:right w:val="nil"/>
            </w:tcBorders>
          </w:tcPr>
          <w:p w14:paraId="4BD4BC91" w14:textId="773DC2A7" w:rsidR="00A16600" w:rsidRPr="008C60EC" w:rsidRDefault="00A16600" w:rsidP="00A16600">
            <w:pPr>
              <w:pStyle w:val="Numbertablecolumnheading-centered"/>
            </w:pPr>
            <w:r w:rsidRPr="00884064">
              <w:t>18</w:t>
            </w:r>
          </w:p>
        </w:tc>
        <w:tc>
          <w:tcPr>
            <w:tcW w:w="693" w:type="pct"/>
            <w:tcBorders>
              <w:top w:val="nil"/>
              <w:left w:val="nil"/>
              <w:bottom w:val="nil"/>
              <w:right w:val="nil"/>
            </w:tcBorders>
          </w:tcPr>
          <w:p w14:paraId="3B52F0C6" w14:textId="0EE80763" w:rsidR="00A16600" w:rsidRPr="008C60EC" w:rsidRDefault="00A16600" w:rsidP="00A16600">
            <w:pPr>
              <w:pStyle w:val="Numbertablecolumnheading-centered"/>
            </w:pPr>
            <w:r w:rsidRPr="00884064">
              <w:t>647,000</w:t>
            </w:r>
          </w:p>
        </w:tc>
        <w:tc>
          <w:tcPr>
            <w:tcW w:w="644" w:type="pct"/>
            <w:tcBorders>
              <w:top w:val="nil"/>
              <w:left w:val="nil"/>
              <w:bottom w:val="nil"/>
              <w:right w:val="nil"/>
            </w:tcBorders>
          </w:tcPr>
          <w:p w14:paraId="77EBBD8F" w14:textId="4309B907" w:rsidR="00A16600" w:rsidRPr="008C60EC" w:rsidRDefault="00A16600" w:rsidP="00A16600">
            <w:pPr>
              <w:pStyle w:val="Numbertablecolumnheading-centered"/>
            </w:pPr>
            <w:r w:rsidRPr="00884064">
              <w:t>11</w:t>
            </w:r>
          </w:p>
        </w:tc>
        <w:tc>
          <w:tcPr>
            <w:tcW w:w="684" w:type="pct"/>
            <w:tcBorders>
              <w:top w:val="nil"/>
              <w:left w:val="nil"/>
              <w:bottom w:val="nil"/>
              <w:right w:val="nil"/>
            </w:tcBorders>
          </w:tcPr>
          <w:p w14:paraId="29D40ACA" w14:textId="55AE99D8" w:rsidR="00A16600" w:rsidRPr="008C60EC" w:rsidRDefault="00A16600" w:rsidP="00A16600">
            <w:pPr>
              <w:pStyle w:val="Numbertablecolumnheading-centered"/>
            </w:pPr>
            <w:r w:rsidRPr="00884064">
              <w:t>71,000</w:t>
            </w:r>
          </w:p>
        </w:tc>
        <w:tc>
          <w:tcPr>
            <w:tcW w:w="652" w:type="pct"/>
            <w:tcBorders>
              <w:top w:val="nil"/>
              <w:left w:val="nil"/>
              <w:bottom w:val="nil"/>
              <w:right w:val="nil"/>
            </w:tcBorders>
          </w:tcPr>
          <w:p w14:paraId="46AEBA54" w14:textId="04852583" w:rsidR="00A16600" w:rsidRPr="008C60EC" w:rsidRDefault="00A16600" w:rsidP="00A16600">
            <w:pPr>
              <w:pStyle w:val="Numbertablecolumnheading-centered"/>
            </w:pPr>
            <w:r w:rsidRPr="00884064">
              <w:t>20</w:t>
            </w:r>
          </w:p>
        </w:tc>
        <w:tc>
          <w:tcPr>
            <w:tcW w:w="679" w:type="pct"/>
            <w:tcBorders>
              <w:top w:val="nil"/>
              <w:left w:val="nil"/>
              <w:bottom w:val="nil"/>
              <w:right w:val="single" w:sz="4" w:space="0" w:color="auto"/>
            </w:tcBorders>
          </w:tcPr>
          <w:p w14:paraId="382F0547" w14:textId="38B9EFA8" w:rsidR="00A16600" w:rsidRPr="008C60EC" w:rsidRDefault="00A16600" w:rsidP="00A16600">
            <w:pPr>
              <w:pStyle w:val="Numbertablecolumnheading-centered"/>
            </w:pPr>
            <w:r w:rsidRPr="00884064">
              <w:t>575,000</w:t>
            </w:r>
          </w:p>
        </w:tc>
      </w:tr>
      <w:tr w:rsidR="009B128A" w14:paraId="6D1C8CF6" w14:textId="77777777" w:rsidTr="009B128A">
        <w:trPr>
          <w:trHeight w:val="284"/>
        </w:trPr>
        <w:tc>
          <w:tcPr>
            <w:tcW w:w="1013" w:type="pct"/>
            <w:tcBorders>
              <w:top w:val="nil"/>
              <w:left w:val="single" w:sz="4" w:space="0" w:color="auto"/>
              <w:bottom w:val="nil"/>
              <w:right w:val="nil"/>
            </w:tcBorders>
          </w:tcPr>
          <w:p w14:paraId="7D19B70E" w14:textId="3AD9C524" w:rsidR="00A16600" w:rsidRPr="00BB1E87" w:rsidRDefault="00A16600" w:rsidP="00A16600">
            <w:pPr>
              <w:pStyle w:val="Numbertablecolumnheading-leftaligned"/>
            </w:pPr>
            <w:r w:rsidRPr="00884064">
              <w:t>Pacific</w:t>
            </w:r>
          </w:p>
        </w:tc>
        <w:tc>
          <w:tcPr>
            <w:tcW w:w="635" w:type="pct"/>
            <w:tcBorders>
              <w:top w:val="nil"/>
              <w:left w:val="nil"/>
              <w:bottom w:val="nil"/>
              <w:right w:val="nil"/>
            </w:tcBorders>
          </w:tcPr>
          <w:p w14:paraId="5E909749" w14:textId="18E7C4C9" w:rsidR="00A16600" w:rsidRPr="008C60EC" w:rsidRDefault="00A16600" w:rsidP="00A16600">
            <w:pPr>
              <w:pStyle w:val="Numbertablecolumnheading-centered"/>
            </w:pPr>
            <w:r w:rsidRPr="00884064">
              <w:t>16</w:t>
            </w:r>
          </w:p>
        </w:tc>
        <w:tc>
          <w:tcPr>
            <w:tcW w:w="693" w:type="pct"/>
            <w:tcBorders>
              <w:top w:val="nil"/>
              <w:left w:val="nil"/>
              <w:bottom w:val="nil"/>
              <w:right w:val="nil"/>
            </w:tcBorders>
          </w:tcPr>
          <w:p w14:paraId="6C08A774" w14:textId="39873352" w:rsidR="00A16600" w:rsidRPr="008C60EC" w:rsidRDefault="00A16600" w:rsidP="00A16600">
            <w:pPr>
              <w:pStyle w:val="Numbertablecolumnheading-centered"/>
            </w:pPr>
            <w:r w:rsidRPr="00884064">
              <w:t>66,000</w:t>
            </w:r>
          </w:p>
        </w:tc>
        <w:tc>
          <w:tcPr>
            <w:tcW w:w="644" w:type="pct"/>
            <w:tcBorders>
              <w:top w:val="nil"/>
              <w:left w:val="nil"/>
              <w:bottom w:val="nil"/>
              <w:right w:val="nil"/>
            </w:tcBorders>
          </w:tcPr>
          <w:p w14:paraId="230D087A" w14:textId="34AEB209" w:rsidR="00A16600" w:rsidRPr="008C60EC" w:rsidRDefault="00A16600" w:rsidP="00A16600">
            <w:pPr>
              <w:pStyle w:val="Numbertablecolumnheading-centered"/>
            </w:pPr>
            <w:r w:rsidRPr="00884064">
              <w:t>11</w:t>
            </w:r>
          </w:p>
        </w:tc>
        <w:tc>
          <w:tcPr>
            <w:tcW w:w="684" w:type="pct"/>
            <w:tcBorders>
              <w:top w:val="nil"/>
              <w:left w:val="nil"/>
              <w:bottom w:val="nil"/>
              <w:right w:val="nil"/>
            </w:tcBorders>
          </w:tcPr>
          <w:p w14:paraId="460AE332" w14:textId="2E3CF9E8" w:rsidR="00A16600" w:rsidRPr="008C60EC" w:rsidRDefault="00A16600" w:rsidP="00A16600">
            <w:pPr>
              <w:pStyle w:val="Numbertablecolumnheading-centered"/>
            </w:pPr>
            <w:r w:rsidRPr="00884064">
              <w:t>14,000</w:t>
            </w:r>
          </w:p>
        </w:tc>
        <w:tc>
          <w:tcPr>
            <w:tcW w:w="652" w:type="pct"/>
            <w:tcBorders>
              <w:top w:val="nil"/>
              <w:left w:val="nil"/>
              <w:bottom w:val="nil"/>
              <w:right w:val="nil"/>
            </w:tcBorders>
          </w:tcPr>
          <w:p w14:paraId="2ABADBD1" w14:textId="2497C8AB" w:rsidR="00A16600" w:rsidRPr="008C60EC" w:rsidRDefault="00A16600" w:rsidP="00A16600">
            <w:pPr>
              <w:pStyle w:val="Numbertablecolumnheading-centered"/>
            </w:pPr>
            <w:r w:rsidRPr="00884064">
              <w:t>18</w:t>
            </w:r>
          </w:p>
        </w:tc>
        <w:tc>
          <w:tcPr>
            <w:tcW w:w="679" w:type="pct"/>
            <w:tcBorders>
              <w:top w:val="nil"/>
              <w:left w:val="nil"/>
              <w:bottom w:val="nil"/>
              <w:right w:val="single" w:sz="4" w:space="0" w:color="auto"/>
            </w:tcBorders>
          </w:tcPr>
          <w:p w14:paraId="5D8FB4EB" w14:textId="2F6BB23F" w:rsidR="00A16600" w:rsidRPr="008C60EC" w:rsidRDefault="00A16600" w:rsidP="00A16600">
            <w:pPr>
              <w:pStyle w:val="Numbertablecolumnheading-centered"/>
            </w:pPr>
            <w:r w:rsidRPr="00884064">
              <w:t>53,000</w:t>
            </w:r>
          </w:p>
        </w:tc>
      </w:tr>
      <w:tr w:rsidR="009B128A" w14:paraId="4EB83CC3" w14:textId="77777777" w:rsidTr="009B128A">
        <w:trPr>
          <w:trHeight w:val="284"/>
        </w:trPr>
        <w:tc>
          <w:tcPr>
            <w:tcW w:w="1013" w:type="pct"/>
            <w:tcBorders>
              <w:top w:val="nil"/>
              <w:left w:val="single" w:sz="4" w:space="0" w:color="auto"/>
              <w:bottom w:val="nil"/>
              <w:right w:val="nil"/>
            </w:tcBorders>
          </w:tcPr>
          <w:p w14:paraId="7B58A14A" w14:textId="4E10CB6A" w:rsidR="00A16600" w:rsidRDefault="00A16600" w:rsidP="00A16600">
            <w:pPr>
              <w:pStyle w:val="Numbertablecolumnheading-leftaligned"/>
            </w:pPr>
            <w:r w:rsidRPr="00884064">
              <w:t>Asian</w:t>
            </w:r>
          </w:p>
        </w:tc>
        <w:tc>
          <w:tcPr>
            <w:tcW w:w="635" w:type="pct"/>
            <w:tcBorders>
              <w:top w:val="nil"/>
              <w:left w:val="nil"/>
              <w:bottom w:val="nil"/>
              <w:right w:val="nil"/>
            </w:tcBorders>
          </w:tcPr>
          <w:p w14:paraId="123091B1" w14:textId="5D7E22A4" w:rsidR="00A16600" w:rsidRPr="008C60EC" w:rsidRDefault="00A16600" w:rsidP="00A16600">
            <w:pPr>
              <w:pStyle w:val="Numbertablecolumnheading-centered"/>
            </w:pPr>
            <w:r w:rsidRPr="00884064">
              <w:t>9</w:t>
            </w:r>
          </w:p>
        </w:tc>
        <w:tc>
          <w:tcPr>
            <w:tcW w:w="693" w:type="pct"/>
            <w:tcBorders>
              <w:top w:val="nil"/>
              <w:left w:val="nil"/>
              <w:bottom w:val="nil"/>
              <w:right w:val="nil"/>
            </w:tcBorders>
          </w:tcPr>
          <w:p w14:paraId="6C51E5E0" w14:textId="6ECBFA16" w:rsidR="00A16600" w:rsidRPr="008C60EC" w:rsidRDefault="00A16600" w:rsidP="00A16600">
            <w:pPr>
              <w:pStyle w:val="Numbertablecolumnheading-centered"/>
            </w:pPr>
            <w:r w:rsidRPr="00884064">
              <w:t>84,000</w:t>
            </w:r>
          </w:p>
        </w:tc>
        <w:tc>
          <w:tcPr>
            <w:tcW w:w="644" w:type="pct"/>
            <w:tcBorders>
              <w:top w:val="nil"/>
              <w:left w:val="nil"/>
              <w:bottom w:val="nil"/>
              <w:right w:val="nil"/>
            </w:tcBorders>
          </w:tcPr>
          <w:p w14:paraId="1CECB385" w14:textId="7665FCE4" w:rsidR="00A16600" w:rsidRPr="008C60EC" w:rsidRDefault="00A16600" w:rsidP="00A16600">
            <w:pPr>
              <w:pStyle w:val="Numbertablecolumnheading-centered"/>
            </w:pPr>
            <w:r w:rsidRPr="00884064">
              <w:t>6</w:t>
            </w:r>
          </w:p>
        </w:tc>
        <w:tc>
          <w:tcPr>
            <w:tcW w:w="684" w:type="pct"/>
            <w:tcBorders>
              <w:top w:val="nil"/>
              <w:left w:val="nil"/>
              <w:bottom w:val="nil"/>
              <w:right w:val="nil"/>
            </w:tcBorders>
          </w:tcPr>
          <w:p w14:paraId="3FAFB395" w14:textId="40866185" w:rsidR="00A16600" w:rsidRPr="008C60EC" w:rsidRDefault="00A16600" w:rsidP="00A16600">
            <w:pPr>
              <w:pStyle w:val="Numbertablecolumnheading-centered"/>
            </w:pPr>
            <w:r w:rsidRPr="00884064">
              <w:t>11,000</w:t>
            </w:r>
          </w:p>
        </w:tc>
        <w:tc>
          <w:tcPr>
            <w:tcW w:w="652" w:type="pct"/>
            <w:tcBorders>
              <w:top w:val="nil"/>
              <w:left w:val="nil"/>
              <w:bottom w:val="nil"/>
              <w:right w:val="nil"/>
            </w:tcBorders>
          </w:tcPr>
          <w:p w14:paraId="528932CB" w14:textId="0F7D5BB8" w:rsidR="00A16600" w:rsidRPr="008C60EC" w:rsidRDefault="00A16600" w:rsidP="00A16600">
            <w:pPr>
              <w:pStyle w:val="Numbertablecolumnheading-centered"/>
            </w:pPr>
            <w:r w:rsidRPr="00884064">
              <w:t>10</w:t>
            </w:r>
          </w:p>
        </w:tc>
        <w:tc>
          <w:tcPr>
            <w:tcW w:w="679" w:type="pct"/>
            <w:tcBorders>
              <w:top w:val="nil"/>
              <w:left w:val="nil"/>
              <w:bottom w:val="nil"/>
              <w:right w:val="single" w:sz="4" w:space="0" w:color="auto"/>
            </w:tcBorders>
          </w:tcPr>
          <w:p w14:paraId="746E8383" w14:textId="0DCB3BB0" w:rsidR="00A16600" w:rsidRPr="008C60EC" w:rsidRDefault="00A16600" w:rsidP="00A16600">
            <w:pPr>
              <w:pStyle w:val="Numbertablecolumnheading-centered"/>
            </w:pPr>
            <w:r w:rsidRPr="00884064">
              <w:t>73,000</w:t>
            </w:r>
          </w:p>
        </w:tc>
      </w:tr>
      <w:tr w:rsidR="009B128A" w14:paraId="3EA05761" w14:textId="77777777" w:rsidTr="009B128A">
        <w:trPr>
          <w:trHeight w:val="284"/>
        </w:trPr>
        <w:tc>
          <w:tcPr>
            <w:tcW w:w="1013" w:type="pct"/>
            <w:tcBorders>
              <w:top w:val="nil"/>
              <w:left w:val="single" w:sz="4" w:space="0" w:color="auto"/>
              <w:bottom w:val="single" w:sz="4" w:space="0" w:color="auto"/>
              <w:right w:val="nil"/>
            </w:tcBorders>
          </w:tcPr>
          <w:p w14:paraId="0CFFEE91" w14:textId="5F08DF84" w:rsidR="00A16600" w:rsidRPr="00BB1E87" w:rsidRDefault="00A16600" w:rsidP="00A16600">
            <w:pPr>
              <w:pStyle w:val="Numbertablecolumnheading-leftaligned"/>
            </w:pPr>
            <w:r w:rsidRPr="00884064">
              <w:t xml:space="preserve">Total </w:t>
            </w:r>
          </w:p>
        </w:tc>
        <w:tc>
          <w:tcPr>
            <w:tcW w:w="635" w:type="pct"/>
            <w:tcBorders>
              <w:top w:val="nil"/>
              <w:left w:val="nil"/>
              <w:bottom w:val="single" w:sz="4" w:space="0" w:color="auto"/>
              <w:right w:val="nil"/>
            </w:tcBorders>
          </w:tcPr>
          <w:p w14:paraId="516FEF77" w14:textId="0998BB5C" w:rsidR="00A16600" w:rsidRPr="008C60EC" w:rsidRDefault="00A16600" w:rsidP="00A16600">
            <w:pPr>
              <w:pStyle w:val="Numbertablecolumnheading-centered"/>
            </w:pPr>
            <w:r w:rsidRPr="00884064">
              <w:t>17</w:t>
            </w:r>
          </w:p>
        </w:tc>
        <w:tc>
          <w:tcPr>
            <w:tcW w:w="693" w:type="pct"/>
            <w:tcBorders>
              <w:top w:val="nil"/>
              <w:left w:val="nil"/>
              <w:bottom w:val="single" w:sz="4" w:space="0" w:color="auto"/>
              <w:right w:val="nil"/>
            </w:tcBorders>
          </w:tcPr>
          <w:p w14:paraId="4E428A50" w14:textId="34ED88AC" w:rsidR="00A16600" w:rsidRPr="008C60EC" w:rsidRDefault="00A16600" w:rsidP="00A16600">
            <w:pPr>
              <w:pStyle w:val="Numbertablecolumnheading-centered"/>
            </w:pPr>
            <w:r w:rsidRPr="00884064">
              <w:t>851,000</w:t>
            </w:r>
          </w:p>
        </w:tc>
        <w:tc>
          <w:tcPr>
            <w:tcW w:w="644" w:type="pct"/>
            <w:tcBorders>
              <w:top w:val="nil"/>
              <w:left w:val="nil"/>
              <w:bottom w:val="single" w:sz="4" w:space="0" w:color="auto"/>
              <w:right w:val="nil"/>
            </w:tcBorders>
          </w:tcPr>
          <w:p w14:paraId="69C0EFFC" w14:textId="16817892" w:rsidR="00A16600" w:rsidRPr="008C60EC" w:rsidRDefault="00A16600" w:rsidP="00A16600">
            <w:pPr>
              <w:pStyle w:val="Numbertablecolumnheading-centered"/>
            </w:pPr>
            <w:r w:rsidRPr="00884064">
              <w:t>10</w:t>
            </w:r>
          </w:p>
        </w:tc>
        <w:tc>
          <w:tcPr>
            <w:tcW w:w="684" w:type="pct"/>
            <w:tcBorders>
              <w:top w:val="nil"/>
              <w:left w:val="nil"/>
              <w:bottom w:val="single" w:sz="4" w:space="0" w:color="auto"/>
              <w:right w:val="nil"/>
            </w:tcBorders>
          </w:tcPr>
          <w:p w14:paraId="29C376FB" w14:textId="6340861B" w:rsidR="00A16600" w:rsidRPr="008C60EC" w:rsidRDefault="00A16600" w:rsidP="00A16600">
            <w:pPr>
              <w:pStyle w:val="Numbertablecolumnheading-centered"/>
            </w:pPr>
            <w:r w:rsidRPr="00884064">
              <w:t>98,000</w:t>
            </w:r>
          </w:p>
        </w:tc>
        <w:tc>
          <w:tcPr>
            <w:tcW w:w="652" w:type="pct"/>
            <w:tcBorders>
              <w:top w:val="nil"/>
              <w:left w:val="nil"/>
              <w:bottom w:val="single" w:sz="4" w:space="0" w:color="auto"/>
              <w:right w:val="nil"/>
            </w:tcBorders>
          </w:tcPr>
          <w:p w14:paraId="4AB84C41" w14:textId="7D739240" w:rsidR="00A16600" w:rsidRPr="008C60EC" w:rsidRDefault="00A16600" w:rsidP="00A16600">
            <w:pPr>
              <w:pStyle w:val="Numbertablecolumnheading-centered"/>
            </w:pPr>
            <w:r w:rsidRPr="00884064">
              <w:t>18</w:t>
            </w:r>
          </w:p>
        </w:tc>
        <w:tc>
          <w:tcPr>
            <w:tcW w:w="679" w:type="pct"/>
            <w:tcBorders>
              <w:top w:val="nil"/>
              <w:left w:val="nil"/>
              <w:bottom w:val="single" w:sz="4" w:space="0" w:color="auto"/>
              <w:right w:val="single" w:sz="4" w:space="0" w:color="auto"/>
            </w:tcBorders>
          </w:tcPr>
          <w:p w14:paraId="1B5247FC" w14:textId="09D51877" w:rsidR="00A16600" w:rsidRPr="008C60EC" w:rsidRDefault="00A16600" w:rsidP="00A16600">
            <w:pPr>
              <w:pStyle w:val="Numbertablecolumnheading-centered"/>
            </w:pPr>
            <w:r w:rsidRPr="00884064">
              <w:t>753,000</w:t>
            </w:r>
          </w:p>
        </w:tc>
      </w:tr>
      <w:tr w:rsidR="00C562FA" w14:paraId="21CA7F82" w14:textId="77777777" w:rsidTr="009B128A">
        <w:trPr>
          <w:trHeight w:val="284"/>
        </w:trPr>
        <w:tc>
          <w:tcPr>
            <w:tcW w:w="5000" w:type="pct"/>
            <w:gridSpan w:val="7"/>
            <w:tcBorders>
              <w:top w:val="single" w:sz="4" w:space="0" w:color="auto"/>
              <w:left w:val="single" w:sz="4" w:space="0" w:color="auto"/>
              <w:right w:val="single" w:sz="4" w:space="0" w:color="auto"/>
            </w:tcBorders>
            <w:vAlign w:val="center"/>
          </w:tcPr>
          <w:p w14:paraId="2844ECFF" w14:textId="5FFD2D48" w:rsidR="00C562FA" w:rsidRDefault="00010257" w:rsidP="009B1C87">
            <w:pPr>
              <w:pStyle w:val="Numbertablecolumnheading-centered"/>
              <w:jc w:val="left"/>
            </w:pPr>
            <w:r w:rsidRPr="00010257">
              <w:t>People who belong to more than one ethnic group are included in each.</w:t>
            </w:r>
          </w:p>
          <w:p w14:paraId="7744B46C" w14:textId="77777777" w:rsidR="00C562FA" w:rsidRPr="008C60EC" w:rsidRDefault="00C562FA" w:rsidP="009B1C87">
            <w:pPr>
              <w:pStyle w:val="Numbertablecolumnheading-centered"/>
              <w:jc w:val="left"/>
            </w:pPr>
            <w:r w:rsidRPr="4A07F070">
              <w:rPr>
                <w:b/>
              </w:rPr>
              <w:t>Source</w:t>
            </w:r>
            <w:r>
              <w:t>: Stats NZ</w:t>
            </w:r>
          </w:p>
        </w:tc>
      </w:tr>
    </w:tbl>
    <w:p w14:paraId="784A700C" w14:textId="38415B55" w:rsidR="00424B2D" w:rsidRDefault="00424B2D" w:rsidP="00424B2D">
      <w:pPr>
        <w:spacing w:before="240"/>
      </w:pPr>
      <w:r>
        <w:t>Māori adults had the highest disability rate</w:t>
      </w:r>
      <w:r w:rsidDel="00A24BBB">
        <w:t xml:space="preserve"> compared with adults in other ethnic groups</w:t>
      </w:r>
      <w:r w:rsidDel="00895E05">
        <w:t>,</w:t>
      </w:r>
      <w:r>
        <w:t xml:space="preserve"> and Asian adults had the lowest rate. The European adult rate was higher than the national adult rate due, at least in part, to the older age profile of the European ethnic group population. </w:t>
      </w:r>
    </w:p>
    <w:p w14:paraId="5AB96422" w14:textId="6C5C90B4" w:rsidR="00424B2D" w:rsidRDefault="00424B2D" w:rsidP="00424B2D">
      <w:r>
        <w:t xml:space="preserve">As was the case for adults, the disability rate for Māori children was higher than the national rate for children and the rate for Asian children was lower. </w:t>
      </w:r>
    </w:p>
    <w:p w14:paraId="260753F0" w14:textId="7A8A095D" w:rsidR="001A330B" w:rsidRDefault="005D3731" w:rsidP="005D3731">
      <w:r>
        <w:t>Māori, Pacific</w:t>
      </w:r>
      <w:r w:rsidR="00563BD4">
        <w:t>,</w:t>
      </w:r>
      <w:r>
        <w:t xml:space="preserve"> and Asian ethnic groups ha</w:t>
      </w:r>
      <w:r w:rsidR="008A0405">
        <w:t>d</w:t>
      </w:r>
      <w:r>
        <w:t xml:space="preserve"> younger age-profiles than the total population</w:t>
      </w:r>
      <w:r w:rsidR="008F3120">
        <w:t>,</w:t>
      </w:r>
      <w:r>
        <w:t xml:space="preserve"> while the European ethnic group</w:t>
      </w:r>
      <w:r w:rsidR="001A330B">
        <w:t xml:space="preserve">’s age-profile </w:t>
      </w:r>
      <w:r w:rsidR="008A0405">
        <w:t>wa</w:t>
      </w:r>
      <w:r>
        <w:t xml:space="preserve">s older. </w:t>
      </w:r>
      <w:r w:rsidR="005B108E">
        <w:t>Because disability rates increase with age, t</w:t>
      </w:r>
      <w:r>
        <w:t>he full extent of differences in disability</w:t>
      </w:r>
      <w:r w:rsidDel="004B706E">
        <w:t xml:space="preserve"> </w:t>
      </w:r>
      <w:r>
        <w:t xml:space="preserve">rates can be hidden by these differing age-profiles. </w:t>
      </w:r>
    </w:p>
    <w:p w14:paraId="4F8CD3CD" w14:textId="56C733F6" w:rsidR="005D3731" w:rsidRDefault="7447A1AE" w:rsidP="005D3731">
      <w:r w:rsidRPr="3524BD2A">
        <w:t>It is helpful to look at age-adjusted disability rates for these groups.</w:t>
      </w:r>
      <w:r w:rsidR="5D3B6FF3" w:rsidRPr="3524BD2A">
        <w:t xml:space="preserve"> </w:t>
      </w:r>
      <w:r w:rsidRPr="3524BD2A">
        <w:t xml:space="preserve">The age-adjusted disability rate for any population group is the rate that it would have if the age-profile for that group was the same as that of the total population. </w:t>
      </w:r>
    </w:p>
    <w:p w14:paraId="0B14344E" w14:textId="030820DA" w:rsidR="00600D7C" w:rsidRPr="00E6628C" w:rsidRDefault="00600D7C" w:rsidP="00600D7C">
      <w:pPr>
        <w:pStyle w:val="Figureandtablenumbers"/>
        <w:spacing w:before="0"/>
      </w:pPr>
      <w:r>
        <w:t xml:space="preserve">Table </w:t>
      </w:r>
      <w:r w:rsidR="008E4A93">
        <w:t>5</w:t>
      </w:r>
    </w:p>
    <w:p w14:paraId="21275A79" w14:textId="77C4DC16" w:rsidR="00600D7C" w:rsidRPr="000275D8" w:rsidRDefault="008E4A93" w:rsidP="00600D7C">
      <w:pPr>
        <w:pStyle w:val="Tabletitle-forhiding"/>
      </w:pPr>
      <w:bookmarkStart w:id="94" w:name="_Toc190426274"/>
      <w:r>
        <w:t>5</w:t>
      </w:r>
      <w:r w:rsidR="00600D7C">
        <w:t xml:space="preserve"> Disability prevalence by </w:t>
      </w:r>
      <w:r w:rsidR="00E539D3">
        <w:t>ethic group</w:t>
      </w:r>
      <w:r w:rsidR="003A5B63">
        <w:t xml:space="preserve">, </w:t>
      </w:r>
      <w:r w:rsidR="00542D66">
        <w:t>o</w:t>
      </w:r>
      <w:r w:rsidR="00542D66" w:rsidRPr="00542D66">
        <w:t>riginal and age-adjusted rates</w:t>
      </w:r>
      <w:bookmarkEnd w:id="94"/>
    </w:p>
    <w:tbl>
      <w:tblPr>
        <w:tblW w:w="7366"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2551"/>
        <w:gridCol w:w="2693"/>
      </w:tblGrid>
      <w:tr w:rsidR="00600D7C" w14:paraId="4616BA1C" w14:textId="77777777" w:rsidTr="00542D66">
        <w:trPr>
          <w:trHeight w:val="420"/>
        </w:trPr>
        <w:tc>
          <w:tcPr>
            <w:tcW w:w="7366" w:type="dxa"/>
            <w:gridSpan w:val="3"/>
            <w:tcBorders>
              <w:left w:val="single" w:sz="4" w:space="0" w:color="auto"/>
              <w:right w:val="single" w:sz="4" w:space="0" w:color="auto"/>
            </w:tcBorders>
            <w:vAlign w:val="center"/>
          </w:tcPr>
          <w:p w14:paraId="7DC69388" w14:textId="4FB822B6" w:rsidR="00600D7C" w:rsidRDefault="00600D7C" w:rsidP="009B1C87">
            <w:pPr>
              <w:pStyle w:val="Tabletitle1"/>
            </w:pPr>
            <w:r>
              <w:t xml:space="preserve">Disability prevalence by </w:t>
            </w:r>
            <w:r w:rsidR="00E539D3">
              <w:t>ethnic group</w:t>
            </w:r>
            <w:r w:rsidR="003A5B63">
              <w:t xml:space="preserve">, </w:t>
            </w:r>
            <w:r w:rsidR="00542D66">
              <w:t>o</w:t>
            </w:r>
            <w:r w:rsidR="00542D66" w:rsidRPr="00542D66">
              <w:t>riginal and age-adjusted rates</w:t>
            </w:r>
          </w:p>
        </w:tc>
      </w:tr>
      <w:tr w:rsidR="00480EEA" w14:paraId="443DF800" w14:textId="77777777" w:rsidTr="00542D66">
        <w:trPr>
          <w:trHeight w:val="420"/>
        </w:trPr>
        <w:tc>
          <w:tcPr>
            <w:tcW w:w="2122" w:type="dxa"/>
            <w:tcBorders>
              <w:left w:val="single" w:sz="4" w:space="0" w:color="auto"/>
              <w:bottom w:val="single" w:sz="4" w:space="0" w:color="auto"/>
            </w:tcBorders>
            <w:vAlign w:val="center"/>
          </w:tcPr>
          <w:p w14:paraId="70EEA367" w14:textId="77777777" w:rsidR="00600D7C" w:rsidRPr="004A691B" w:rsidRDefault="00600D7C" w:rsidP="009B1C87">
            <w:pPr>
              <w:pStyle w:val="Numbertablecolumnheading-leftaligned"/>
            </w:pPr>
            <w:r>
              <w:t>Age group</w:t>
            </w:r>
          </w:p>
        </w:tc>
        <w:tc>
          <w:tcPr>
            <w:tcW w:w="2551" w:type="dxa"/>
            <w:tcBorders>
              <w:bottom w:val="single" w:sz="4" w:space="0" w:color="auto"/>
            </w:tcBorders>
            <w:vAlign w:val="center"/>
          </w:tcPr>
          <w:p w14:paraId="0DFFA174" w14:textId="4377AD27" w:rsidR="00600D7C" w:rsidRPr="00B40B92" w:rsidRDefault="00715E2A" w:rsidP="009B1C87">
            <w:pPr>
              <w:pStyle w:val="Numbertablecolumnheading-centered"/>
            </w:pPr>
            <w:r>
              <w:t>Unadjusted d</w:t>
            </w:r>
            <w:r w:rsidR="00600D7C">
              <w:t>isability rate (%)</w:t>
            </w:r>
          </w:p>
        </w:tc>
        <w:tc>
          <w:tcPr>
            <w:tcW w:w="2693" w:type="dxa"/>
            <w:tcBorders>
              <w:bottom w:val="single" w:sz="4" w:space="0" w:color="auto"/>
              <w:right w:val="single" w:sz="4" w:space="0" w:color="auto"/>
            </w:tcBorders>
            <w:vAlign w:val="center"/>
          </w:tcPr>
          <w:p w14:paraId="22E19C82" w14:textId="3091D782" w:rsidR="00600D7C" w:rsidRPr="00E409C9" w:rsidRDefault="00715E2A" w:rsidP="009B1C87">
            <w:pPr>
              <w:pStyle w:val="Numbertablecolumnheading-centered"/>
            </w:pPr>
            <w:r>
              <w:t>Age-adjusted disability rate (</w:t>
            </w:r>
            <w:r w:rsidR="00CD6F1D">
              <w:t xml:space="preserve">%) </w:t>
            </w:r>
          </w:p>
        </w:tc>
      </w:tr>
      <w:tr w:rsidR="00480EEA" w14:paraId="69FB38ED" w14:textId="77777777" w:rsidTr="00542D66">
        <w:trPr>
          <w:trHeight w:val="142"/>
        </w:trPr>
        <w:tc>
          <w:tcPr>
            <w:tcW w:w="2122" w:type="dxa"/>
            <w:tcBorders>
              <w:top w:val="single" w:sz="4" w:space="0" w:color="auto"/>
              <w:left w:val="single" w:sz="4" w:space="0" w:color="auto"/>
              <w:bottom w:val="nil"/>
              <w:right w:val="nil"/>
            </w:tcBorders>
          </w:tcPr>
          <w:p w14:paraId="185FEA80" w14:textId="239D67E5" w:rsidR="00D21F2C" w:rsidRDefault="00D21F2C" w:rsidP="00D21F2C">
            <w:pPr>
              <w:pStyle w:val="Numbertablecolumnheading-leftaligned"/>
            </w:pPr>
            <w:r w:rsidRPr="00B12ED9">
              <w:t>Māori</w:t>
            </w:r>
          </w:p>
        </w:tc>
        <w:tc>
          <w:tcPr>
            <w:tcW w:w="2551" w:type="dxa"/>
            <w:tcBorders>
              <w:top w:val="single" w:sz="4" w:space="0" w:color="auto"/>
              <w:left w:val="nil"/>
              <w:bottom w:val="nil"/>
              <w:right w:val="nil"/>
            </w:tcBorders>
          </w:tcPr>
          <w:p w14:paraId="32B3E374" w14:textId="7FF4456B" w:rsidR="00D21F2C" w:rsidRPr="00676A28" w:rsidRDefault="00D21F2C" w:rsidP="00D21F2C">
            <w:pPr>
              <w:pStyle w:val="Numbertablecolumnheading-centered"/>
            </w:pPr>
            <w:r w:rsidRPr="00B12ED9">
              <w:t>21</w:t>
            </w:r>
          </w:p>
        </w:tc>
        <w:tc>
          <w:tcPr>
            <w:tcW w:w="2693" w:type="dxa"/>
            <w:tcBorders>
              <w:top w:val="single" w:sz="4" w:space="0" w:color="auto"/>
              <w:left w:val="nil"/>
              <w:bottom w:val="nil"/>
              <w:right w:val="single" w:sz="4" w:space="0" w:color="auto"/>
            </w:tcBorders>
          </w:tcPr>
          <w:p w14:paraId="3A29A066" w14:textId="0EB28560" w:rsidR="00D21F2C" w:rsidRPr="00676A28" w:rsidRDefault="00D21F2C" w:rsidP="00D21F2C">
            <w:pPr>
              <w:pStyle w:val="Numbertablecolumnheading-centered"/>
            </w:pPr>
            <w:r w:rsidRPr="00B12ED9">
              <w:t>24</w:t>
            </w:r>
          </w:p>
        </w:tc>
      </w:tr>
      <w:tr w:rsidR="00117699" w14:paraId="611A87AE" w14:textId="77777777" w:rsidTr="00542D66">
        <w:trPr>
          <w:trHeight w:val="288"/>
        </w:trPr>
        <w:tc>
          <w:tcPr>
            <w:tcW w:w="2122" w:type="dxa"/>
            <w:tcBorders>
              <w:top w:val="nil"/>
              <w:left w:val="single" w:sz="4" w:space="0" w:color="auto"/>
              <w:bottom w:val="nil"/>
              <w:right w:val="nil"/>
            </w:tcBorders>
          </w:tcPr>
          <w:p w14:paraId="0E7EF6DB" w14:textId="2ED2B464" w:rsidR="00117699" w:rsidRPr="00B12ED9" w:rsidRDefault="00117699" w:rsidP="00117699">
            <w:pPr>
              <w:pStyle w:val="Numbertablecolumnheading-leftaligned"/>
            </w:pPr>
            <w:r w:rsidRPr="00B12ED9">
              <w:t>European</w:t>
            </w:r>
          </w:p>
        </w:tc>
        <w:tc>
          <w:tcPr>
            <w:tcW w:w="2551" w:type="dxa"/>
            <w:tcBorders>
              <w:top w:val="nil"/>
              <w:left w:val="nil"/>
              <w:bottom w:val="nil"/>
              <w:right w:val="nil"/>
            </w:tcBorders>
          </w:tcPr>
          <w:p w14:paraId="37D0EF8C" w14:textId="645F19A5" w:rsidR="00117699" w:rsidRPr="00B12ED9" w:rsidRDefault="00117699" w:rsidP="00117699">
            <w:pPr>
              <w:pStyle w:val="Numbertablecolumnheading-centered"/>
            </w:pPr>
            <w:r w:rsidRPr="00B12ED9">
              <w:t>18</w:t>
            </w:r>
          </w:p>
        </w:tc>
        <w:tc>
          <w:tcPr>
            <w:tcW w:w="2693" w:type="dxa"/>
            <w:tcBorders>
              <w:top w:val="nil"/>
              <w:left w:val="nil"/>
              <w:bottom w:val="nil"/>
              <w:right w:val="single" w:sz="4" w:space="0" w:color="auto"/>
            </w:tcBorders>
          </w:tcPr>
          <w:p w14:paraId="6582AC58" w14:textId="2F67CD6C" w:rsidR="00117699" w:rsidRPr="00B12ED9" w:rsidRDefault="00117699" w:rsidP="00117699">
            <w:pPr>
              <w:pStyle w:val="Numbertablecolumnheading-centered"/>
            </w:pPr>
            <w:r w:rsidRPr="00B12ED9">
              <w:t>17</w:t>
            </w:r>
          </w:p>
        </w:tc>
      </w:tr>
      <w:tr w:rsidR="00117699" w14:paraId="13F02A95" w14:textId="77777777" w:rsidTr="00542D66">
        <w:trPr>
          <w:trHeight w:val="288"/>
        </w:trPr>
        <w:tc>
          <w:tcPr>
            <w:tcW w:w="2122" w:type="dxa"/>
            <w:tcBorders>
              <w:top w:val="nil"/>
              <w:left w:val="single" w:sz="4" w:space="0" w:color="auto"/>
              <w:bottom w:val="nil"/>
              <w:right w:val="nil"/>
            </w:tcBorders>
          </w:tcPr>
          <w:p w14:paraId="65C3CE10" w14:textId="099C645D" w:rsidR="00117699" w:rsidRPr="00E409C9" w:rsidRDefault="00117699" w:rsidP="00117699">
            <w:pPr>
              <w:pStyle w:val="Numbertablecolumnheading-leftaligned"/>
            </w:pPr>
            <w:r w:rsidRPr="00B12ED9">
              <w:t>Pacific</w:t>
            </w:r>
          </w:p>
        </w:tc>
        <w:tc>
          <w:tcPr>
            <w:tcW w:w="2551" w:type="dxa"/>
            <w:tcBorders>
              <w:top w:val="nil"/>
              <w:left w:val="nil"/>
              <w:bottom w:val="nil"/>
              <w:right w:val="nil"/>
            </w:tcBorders>
          </w:tcPr>
          <w:p w14:paraId="23C52038" w14:textId="0646CEFF" w:rsidR="00117699" w:rsidRPr="008C60EC" w:rsidRDefault="00117699" w:rsidP="00117699">
            <w:pPr>
              <w:pStyle w:val="Numbertablecolumnheading-centered"/>
            </w:pPr>
            <w:r w:rsidRPr="00B12ED9">
              <w:t>16</w:t>
            </w:r>
          </w:p>
        </w:tc>
        <w:tc>
          <w:tcPr>
            <w:tcW w:w="2693" w:type="dxa"/>
            <w:tcBorders>
              <w:top w:val="nil"/>
              <w:left w:val="nil"/>
              <w:bottom w:val="nil"/>
              <w:right w:val="single" w:sz="4" w:space="0" w:color="auto"/>
            </w:tcBorders>
          </w:tcPr>
          <w:p w14:paraId="5C71C71A" w14:textId="72DCD47A" w:rsidR="00117699" w:rsidRPr="008C60EC" w:rsidRDefault="00117699" w:rsidP="00117699">
            <w:pPr>
              <w:pStyle w:val="Numbertablecolumnheading-centered"/>
            </w:pPr>
            <w:r w:rsidRPr="00B12ED9">
              <w:t>21</w:t>
            </w:r>
          </w:p>
        </w:tc>
      </w:tr>
      <w:tr w:rsidR="00117699" w14:paraId="76178E91" w14:textId="77777777" w:rsidTr="00542D66">
        <w:trPr>
          <w:trHeight w:val="288"/>
        </w:trPr>
        <w:tc>
          <w:tcPr>
            <w:tcW w:w="2122" w:type="dxa"/>
            <w:tcBorders>
              <w:top w:val="nil"/>
              <w:left w:val="single" w:sz="4" w:space="0" w:color="auto"/>
              <w:bottom w:val="nil"/>
              <w:right w:val="nil"/>
            </w:tcBorders>
          </w:tcPr>
          <w:p w14:paraId="04EE9B23" w14:textId="66E24ADB" w:rsidR="00117699" w:rsidRDefault="00117699" w:rsidP="00117699">
            <w:pPr>
              <w:pStyle w:val="Numbertablecolumnheading-leftaligned"/>
            </w:pPr>
            <w:r w:rsidRPr="00B12ED9">
              <w:t>Asian</w:t>
            </w:r>
          </w:p>
        </w:tc>
        <w:tc>
          <w:tcPr>
            <w:tcW w:w="2551" w:type="dxa"/>
            <w:tcBorders>
              <w:top w:val="nil"/>
              <w:left w:val="nil"/>
              <w:bottom w:val="nil"/>
              <w:right w:val="nil"/>
            </w:tcBorders>
          </w:tcPr>
          <w:p w14:paraId="50C245D6" w14:textId="562031A4" w:rsidR="00117699" w:rsidRPr="008C60EC" w:rsidRDefault="00117699" w:rsidP="00117699">
            <w:pPr>
              <w:pStyle w:val="Numbertablecolumnheading-centered"/>
            </w:pPr>
            <w:r w:rsidRPr="00B12ED9">
              <w:t>9</w:t>
            </w:r>
          </w:p>
        </w:tc>
        <w:tc>
          <w:tcPr>
            <w:tcW w:w="2693" w:type="dxa"/>
            <w:tcBorders>
              <w:top w:val="nil"/>
              <w:left w:val="nil"/>
              <w:bottom w:val="nil"/>
              <w:right w:val="single" w:sz="4" w:space="0" w:color="auto"/>
            </w:tcBorders>
          </w:tcPr>
          <w:p w14:paraId="47FDFE74" w14:textId="78E3C634" w:rsidR="00117699" w:rsidRPr="008C60EC" w:rsidRDefault="00117699" w:rsidP="00117699">
            <w:pPr>
              <w:pStyle w:val="Numbertablecolumnheading-centered"/>
            </w:pPr>
            <w:r w:rsidRPr="00B12ED9">
              <w:t>13</w:t>
            </w:r>
          </w:p>
        </w:tc>
      </w:tr>
      <w:tr w:rsidR="00117699" w14:paraId="2912E1A3" w14:textId="77777777" w:rsidTr="00542D66">
        <w:trPr>
          <w:trHeight w:val="288"/>
        </w:trPr>
        <w:tc>
          <w:tcPr>
            <w:tcW w:w="2122" w:type="dxa"/>
            <w:tcBorders>
              <w:top w:val="nil"/>
              <w:left w:val="single" w:sz="4" w:space="0" w:color="auto"/>
              <w:bottom w:val="single" w:sz="4" w:space="0" w:color="auto"/>
              <w:right w:val="nil"/>
            </w:tcBorders>
          </w:tcPr>
          <w:p w14:paraId="02A89065" w14:textId="7908B627" w:rsidR="00117699" w:rsidRPr="00BB1E87" w:rsidRDefault="00117699" w:rsidP="00117699">
            <w:pPr>
              <w:pStyle w:val="Numbertablecolumnheading-leftaligned"/>
            </w:pPr>
            <w:r w:rsidRPr="00B12ED9">
              <w:t xml:space="preserve">Total </w:t>
            </w:r>
          </w:p>
        </w:tc>
        <w:tc>
          <w:tcPr>
            <w:tcW w:w="2551" w:type="dxa"/>
            <w:tcBorders>
              <w:top w:val="nil"/>
              <w:left w:val="nil"/>
              <w:bottom w:val="single" w:sz="4" w:space="0" w:color="auto"/>
              <w:right w:val="nil"/>
            </w:tcBorders>
          </w:tcPr>
          <w:p w14:paraId="17B82160" w14:textId="547E4BB3" w:rsidR="00117699" w:rsidRPr="008C60EC" w:rsidRDefault="00117699" w:rsidP="00117699">
            <w:pPr>
              <w:pStyle w:val="Numbertablecolumnheading-centered"/>
            </w:pPr>
            <w:r w:rsidRPr="00B12ED9">
              <w:t>17</w:t>
            </w:r>
          </w:p>
        </w:tc>
        <w:tc>
          <w:tcPr>
            <w:tcW w:w="2693" w:type="dxa"/>
            <w:tcBorders>
              <w:top w:val="nil"/>
              <w:left w:val="nil"/>
              <w:bottom w:val="single" w:sz="4" w:space="0" w:color="auto"/>
              <w:right w:val="single" w:sz="4" w:space="0" w:color="auto"/>
            </w:tcBorders>
          </w:tcPr>
          <w:p w14:paraId="0DE51993" w14:textId="64D59EC2" w:rsidR="00117699" w:rsidRPr="008C60EC" w:rsidRDefault="00117699" w:rsidP="00117699">
            <w:pPr>
              <w:pStyle w:val="Numbertablecolumnheading-centered"/>
            </w:pPr>
            <w:r w:rsidRPr="00B12ED9">
              <w:t>17</w:t>
            </w:r>
          </w:p>
        </w:tc>
      </w:tr>
      <w:tr w:rsidR="00117699" w14:paraId="61DAEED7" w14:textId="77777777" w:rsidTr="00542D66">
        <w:trPr>
          <w:trHeight w:val="288"/>
        </w:trPr>
        <w:tc>
          <w:tcPr>
            <w:tcW w:w="7366" w:type="dxa"/>
            <w:gridSpan w:val="3"/>
            <w:tcBorders>
              <w:top w:val="single" w:sz="4" w:space="0" w:color="auto"/>
              <w:left w:val="single" w:sz="4" w:space="0" w:color="auto"/>
              <w:right w:val="single" w:sz="4" w:space="0" w:color="auto"/>
            </w:tcBorders>
            <w:vAlign w:val="center"/>
          </w:tcPr>
          <w:p w14:paraId="4C4F2735" w14:textId="09D25600" w:rsidR="00117699" w:rsidRPr="00D37CD2" w:rsidRDefault="00117699" w:rsidP="00117699">
            <w:pPr>
              <w:pStyle w:val="Numbertablecolumnheading-centered"/>
              <w:jc w:val="left"/>
            </w:pPr>
            <w:r w:rsidRPr="00010257">
              <w:t>People who belong to more than one ethnic group are included in each.</w:t>
            </w:r>
          </w:p>
          <w:p w14:paraId="460C530D" w14:textId="450EDBE7" w:rsidR="00117699" w:rsidRDefault="00117699" w:rsidP="00117699">
            <w:pPr>
              <w:pStyle w:val="Numbertablecolumnheading-centered"/>
              <w:jc w:val="left"/>
            </w:pPr>
            <w:r w:rsidRPr="4A07F070">
              <w:rPr>
                <w:b/>
              </w:rPr>
              <w:t>Source</w:t>
            </w:r>
            <w:r>
              <w:t>: Stats NZ</w:t>
            </w:r>
          </w:p>
        </w:tc>
      </w:tr>
    </w:tbl>
    <w:p w14:paraId="32698A7E" w14:textId="305476EB" w:rsidR="005B108E" w:rsidRDefault="005B108E" w:rsidP="005B108E">
      <w:pPr>
        <w:spacing w:before="240"/>
      </w:pPr>
      <w:r>
        <w:t>Age-adjusted disability rates for Māori and Pacific people were significantly higher than the national disability rate of 17 percent.</w:t>
      </w:r>
    </w:p>
    <w:p w14:paraId="15F2C87C" w14:textId="3362D656" w:rsidR="005B108E" w:rsidRDefault="005B108E" w:rsidP="005B108E">
      <w:r>
        <w:t>Even after age adjustment, the Asian ethnic group still had a lower disability</w:t>
      </w:r>
      <w:r w:rsidDel="004B706E">
        <w:t xml:space="preserve"> </w:t>
      </w:r>
      <w:r>
        <w:t xml:space="preserve">rate than the national rate. </w:t>
      </w:r>
    </w:p>
    <w:p w14:paraId="70F9C5D7" w14:textId="4070CBA7" w:rsidR="00B55729" w:rsidRDefault="005B108E" w:rsidP="005D3731">
      <w:r>
        <w:t xml:space="preserve">Cultural differences affecting the </w:t>
      </w:r>
      <w:r w:rsidR="00805042">
        <w:t xml:space="preserve">tendency </w:t>
      </w:r>
      <w:r>
        <w:t xml:space="preserve">to report difficulties may </w:t>
      </w:r>
      <w:r w:rsidR="00961982">
        <w:t xml:space="preserve">have </w:t>
      </w:r>
      <w:r>
        <w:t>contribute</w:t>
      </w:r>
      <w:r w:rsidR="00961982">
        <w:t>d</w:t>
      </w:r>
      <w:r>
        <w:t xml:space="preserve"> to ethnic variations in measured disability rates, so variations may not be solely due to differences in functional difficulties.</w:t>
      </w:r>
    </w:p>
    <w:p w14:paraId="3927B4A1" w14:textId="4CF33FA9" w:rsidR="00B55729" w:rsidRDefault="00B55729" w:rsidP="00B55729">
      <w:pPr>
        <w:pStyle w:val="Heading2"/>
      </w:pPr>
      <w:bookmarkStart w:id="95" w:name="_Toc187762877"/>
      <w:bookmarkStart w:id="96" w:name="_Toc187763571"/>
      <w:bookmarkStart w:id="97" w:name="_Toc187763838"/>
      <w:bookmarkStart w:id="98" w:name="_Toc190856841"/>
      <w:r>
        <w:t>4.4 By LGBTIQ+ status</w:t>
      </w:r>
      <w:r w:rsidR="00591477">
        <w:rPr>
          <w:rStyle w:val="FootnoteReference"/>
        </w:rPr>
        <w:footnoteReference w:id="3"/>
      </w:r>
      <w:bookmarkEnd w:id="95"/>
      <w:bookmarkEnd w:id="96"/>
      <w:bookmarkEnd w:id="97"/>
      <w:bookmarkEnd w:id="98"/>
    </w:p>
    <w:p w14:paraId="38996258" w14:textId="76C921BE" w:rsidR="006416D0" w:rsidRDefault="00B215AA" w:rsidP="00B215AA">
      <w:r>
        <w:t xml:space="preserve">The </w:t>
      </w:r>
      <w:r w:rsidR="004C609F">
        <w:t xml:space="preserve">disability </w:t>
      </w:r>
      <w:r>
        <w:t>rate for the LGBTIQ+ adult population was 29 percent, significantly higher than the</w:t>
      </w:r>
      <w:r w:rsidR="00F07463">
        <w:t xml:space="preserve"> </w:t>
      </w:r>
      <w:r w:rsidR="00FD24A2">
        <w:t xml:space="preserve">rate for the </w:t>
      </w:r>
      <w:r w:rsidR="00F07463">
        <w:t xml:space="preserve">non-LGBTIQ+ </w:t>
      </w:r>
      <w:r>
        <w:t>population of 17 percent.</w:t>
      </w:r>
      <w:r w:rsidR="00A02E1C">
        <w:t xml:space="preserve"> </w:t>
      </w:r>
    </w:p>
    <w:p w14:paraId="09CAB964" w14:textId="425E596C" w:rsidR="00B215AA" w:rsidRDefault="00B215AA" w:rsidP="00B215AA">
      <w:r>
        <w:t>Disability rates for the LGBTIQ+ population also differed by ethnic group.</w:t>
      </w:r>
      <w:r w:rsidR="00A02E1C">
        <w:t xml:space="preserve"> </w:t>
      </w:r>
      <w:r>
        <w:t>In all ethnic groups shown</w:t>
      </w:r>
      <w:r w:rsidR="00393EFD">
        <w:t xml:space="preserve"> in table 6</w:t>
      </w:r>
      <w:r>
        <w:t xml:space="preserve">, </w:t>
      </w:r>
      <w:r w:rsidR="00393EFD">
        <w:t>t</w:t>
      </w:r>
      <w:r>
        <w:t xml:space="preserve">he disability rate was significantly higher </w:t>
      </w:r>
      <w:r w:rsidR="00133FE5">
        <w:t>among</w:t>
      </w:r>
      <w:r>
        <w:t xml:space="preserve"> the LGBTIQ+ population.</w:t>
      </w:r>
      <w:r w:rsidR="00393EFD">
        <w:t xml:space="preserve"> The Asian ethnic group had too few people in the sample to show in table 6.</w:t>
      </w:r>
    </w:p>
    <w:p w14:paraId="668B693D" w14:textId="5E841080" w:rsidR="006012F6" w:rsidRPr="00E6628C" w:rsidRDefault="006012F6" w:rsidP="006012F6">
      <w:pPr>
        <w:pStyle w:val="Figureandtablenumbers"/>
        <w:spacing w:before="0"/>
      </w:pPr>
      <w:r>
        <w:t xml:space="preserve">Table </w:t>
      </w:r>
      <w:r w:rsidR="008E4A93">
        <w:t>6</w:t>
      </w:r>
    </w:p>
    <w:p w14:paraId="0D5123E7" w14:textId="5D7E66FD" w:rsidR="006012F6" w:rsidRPr="000275D8" w:rsidRDefault="008E4A93" w:rsidP="006012F6">
      <w:pPr>
        <w:pStyle w:val="Tabletitle-forhiding"/>
      </w:pPr>
      <w:bookmarkStart w:id="99" w:name="_Toc190426275"/>
      <w:r>
        <w:t>6</w:t>
      </w:r>
      <w:r w:rsidR="006012F6">
        <w:t xml:space="preserve"> Disability prevalence by ethnic group </w:t>
      </w:r>
      <w:r w:rsidR="000872CB">
        <w:t>and LGBTIQ+ status</w:t>
      </w:r>
      <w:bookmarkEnd w:id="99"/>
      <w:r w:rsidR="00A02E1C">
        <w:t xml:space="preserve"> </w:t>
      </w:r>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27"/>
        <w:gridCol w:w="1145"/>
        <w:gridCol w:w="1250"/>
        <w:gridCol w:w="1161"/>
        <w:gridCol w:w="1233"/>
        <w:gridCol w:w="1176"/>
        <w:gridCol w:w="1224"/>
      </w:tblGrid>
      <w:tr w:rsidR="006012F6" w14:paraId="79ACFE8F" w14:textId="77777777" w:rsidTr="009B1C87">
        <w:trPr>
          <w:trHeight w:val="413"/>
        </w:trPr>
        <w:tc>
          <w:tcPr>
            <w:tcW w:w="5000" w:type="pct"/>
            <w:gridSpan w:val="7"/>
            <w:tcBorders>
              <w:left w:val="single" w:sz="4" w:space="0" w:color="auto"/>
              <w:right w:val="single" w:sz="4" w:space="0" w:color="auto"/>
            </w:tcBorders>
          </w:tcPr>
          <w:p w14:paraId="7CDB071E" w14:textId="3FF2D611" w:rsidR="006012F6" w:rsidRPr="00B40B92" w:rsidRDefault="006012F6" w:rsidP="009B1C87">
            <w:pPr>
              <w:pStyle w:val="Tabletitle1"/>
            </w:pPr>
            <w:r>
              <w:t xml:space="preserve">Disability prevalence by ethnic group </w:t>
            </w:r>
            <w:r w:rsidR="000872CB">
              <w:t>and LGBTIQ+ status</w:t>
            </w:r>
            <w:r>
              <w:t xml:space="preserve"> </w:t>
            </w:r>
          </w:p>
        </w:tc>
      </w:tr>
      <w:tr w:rsidR="006012F6" w14:paraId="7854B8F1" w14:textId="77777777" w:rsidTr="00480EEA">
        <w:trPr>
          <w:trHeight w:val="325"/>
        </w:trPr>
        <w:tc>
          <w:tcPr>
            <w:tcW w:w="1013" w:type="pct"/>
            <w:vMerge w:val="restart"/>
            <w:tcBorders>
              <w:left w:val="single" w:sz="4" w:space="0" w:color="auto"/>
            </w:tcBorders>
            <w:vAlign w:val="center"/>
          </w:tcPr>
          <w:p w14:paraId="7CAEAD1B" w14:textId="77777777" w:rsidR="006012F6" w:rsidRPr="004A691B" w:rsidRDefault="006012F6" w:rsidP="009B1C87">
            <w:pPr>
              <w:pStyle w:val="Numbertablecolumnheading-leftaligned"/>
            </w:pPr>
            <w:r>
              <w:t>Ethnic group</w:t>
            </w:r>
          </w:p>
        </w:tc>
        <w:tc>
          <w:tcPr>
            <w:tcW w:w="1328" w:type="pct"/>
            <w:gridSpan w:val="2"/>
            <w:vAlign w:val="center"/>
          </w:tcPr>
          <w:p w14:paraId="5433DA12" w14:textId="6D483CE0" w:rsidR="006012F6" w:rsidRDefault="006012F6" w:rsidP="009B1C87">
            <w:pPr>
              <w:pStyle w:val="Numbertablecolumnheading-centered"/>
            </w:pPr>
            <w:r>
              <w:t>Total</w:t>
            </w:r>
            <w:r w:rsidR="00D56BD0">
              <w:t xml:space="preserve"> adults</w:t>
            </w:r>
          </w:p>
        </w:tc>
        <w:tc>
          <w:tcPr>
            <w:tcW w:w="1328" w:type="pct"/>
            <w:gridSpan w:val="2"/>
            <w:vAlign w:val="center"/>
          </w:tcPr>
          <w:p w14:paraId="6441C8B7" w14:textId="7105D467" w:rsidR="006012F6" w:rsidRPr="00E409C9" w:rsidRDefault="00D56BD0" w:rsidP="009B1C87">
            <w:pPr>
              <w:pStyle w:val="Numbertablecolumnheading-centered"/>
            </w:pPr>
            <w:r>
              <w:t>LGBTIQ+ adults</w:t>
            </w:r>
          </w:p>
        </w:tc>
        <w:tc>
          <w:tcPr>
            <w:tcW w:w="1332" w:type="pct"/>
            <w:gridSpan w:val="2"/>
            <w:tcBorders>
              <w:right w:val="single" w:sz="4" w:space="0" w:color="auto"/>
            </w:tcBorders>
            <w:vAlign w:val="center"/>
          </w:tcPr>
          <w:p w14:paraId="4ABE0F10" w14:textId="00880D27" w:rsidR="006012F6" w:rsidRPr="00B40B92" w:rsidRDefault="00D56BD0" w:rsidP="009B1C87">
            <w:pPr>
              <w:pStyle w:val="Numbertablecolumnheading-centered"/>
            </w:pPr>
            <w:r>
              <w:t>Non-LGBTIQ+ adults</w:t>
            </w:r>
          </w:p>
        </w:tc>
      </w:tr>
      <w:tr w:rsidR="006012F6" w14:paraId="5BBFEEC7" w14:textId="77777777" w:rsidTr="00480EEA">
        <w:trPr>
          <w:trHeight w:val="277"/>
        </w:trPr>
        <w:tc>
          <w:tcPr>
            <w:tcW w:w="1013" w:type="pct"/>
            <w:vMerge/>
            <w:tcBorders>
              <w:left w:val="single" w:sz="4" w:space="0" w:color="auto"/>
              <w:bottom w:val="single" w:sz="4" w:space="0" w:color="auto"/>
            </w:tcBorders>
          </w:tcPr>
          <w:p w14:paraId="6547F779" w14:textId="77777777" w:rsidR="006012F6" w:rsidRDefault="006012F6" w:rsidP="009B1C87"/>
        </w:tc>
        <w:tc>
          <w:tcPr>
            <w:tcW w:w="635" w:type="pct"/>
            <w:tcBorders>
              <w:bottom w:val="single" w:sz="4" w:space="0" w:color="auto"/>
            </w:tcBorders>
          </w:tcPr>
          <w:p w14:paraId="14EDDBF7" w14:textId="77777777" w:rsidR="006012F6" w:rsidRDefault="006012F6" w:rsidP="009B1C87">
            <w:pPr>
              <w:pStyle w:val="Numbertablecolumnheading-centered"/>
            </w:pPr>
            <w:r>
              <w:t>Disability rate (%)</w:t>
            </w:r>
          </w:p>
        </w:tc>
        <w:tc>
          <w:tcPr>
            <w:tcW w:w="693" w:type="pct"/>
            <w:tcBorders>
              <w:bottom w:val="single" w:sz="4" w:space="0" w:color="auto"/>
            </w:tcBorders>
          </w:tcPr>
          <w:p w14:paraId="041C41A4" w14:textId="365FF3E1" w:rsidR="006012F6" w:rsidRDefault="006012F6" w:rsidP="009B1C87">
            <w:pPr>
              <w:pStyle w:val="Numbertablecolumnheading-centered"/>
            </w:pPr>
            <w:r>
              <w:t xml:space="preserve">Number of disabled </w:t>
            </w:r>
            <w:r w:rsidR="00823359">
              <w:t>adults</w:t>
            </w:r>
          </w:p>
        </w:tc>
        <w:tc>
          <w:tcPr>
            <w:tcW w:w="644" w:type="pct"/>
            <w:tcBorders>
              <w:bottom w:val="single" w:sz="4" w:space="0" w:color="auto"/>
              <w:right w:val="single" w:sz="4" w:space="0" w:color="auto"/>
            </w:tcBorders>
          </w:tcPr>
          <w:p w14:paraId="4B0ED8D0" w14:textId="77777777" w:rsidR="006012F6" w:rsidRPr="00BB1E87" w:rsidRDefault="006012F6" w:rsidP="009B1C87">
            <w:pPr>
              <w:pStyle w:val="Numbertablecolumnheading-centered"/>
            </w:pPr>
            <w:r>
              <w:t>Disability rate (%)</w:t>
            </w:r>
          </w:p>
        </w:tc>
        <w:tc>
          <w:tcPr>
            <w:tcW w:w="684" w:type="pct"/>
            <w:tcBorders>
              <w:bottom w:val="single" w:sz="4" w:space="0" w:color="auto"/>
              <w:right w:val="single" w:sz="4" w:space="0" w:color="auto"/>
            </w:tcBorders>
          </w:tcPr>
          <w:p w14:paraId="13A09229" w14:textId="6A0ECDA5" w:rsidR="006012F6" w:rsidRPr="00BB1E87" w:rsidRDefault="006012F6" w:rsidP="009B1C87">
            <w:pPr>
              <w:pStyle w:val="Numbertablecolumnheading-centered"/>
            </w:pPr>
            <w:r>
              <w:t xml:space="preserve">Number of disabled </w:t>
            </w:r>
            <w:r w:rsidR="00823359">
              <w:t>adults</w:t>
            </w:r>
          </w:p>
        </w:tc>
        <w:tc>
          <w:tcPr>
            <w:tcW w:w="652" w:type="pct"/>
            <w:tcBorders>
              <w:bottom w:val="single" w:sz="4" w:space="0" w:color="auto"/>
              <w:right w:val="single" w:sz="4" w:space="0" w:color="auto"/>
            </w:tcBorders>
          </w:tcPr>
          <w:p w14:paraId="1213E645" w14:textId="77777777" w:rsidR="006012F6" w:rsidRPr="00BB1E87" w:rsidRDefault="006012F6" w:rsidP="009B1C87">
            <w:pPr>
              <w:pStyle w:val="Numbertablecolumnheading-centered"/>
            </w:pPr>
            <w:r>
              <w:t>Disability rate (%)</w:t>
            </w:r>
          </w:p>
        </w:tc>
        <w:tc>
          <w:tcPr>
            <w:tcW w:w="679" w:type="pct"/>
            <w:tcBorders>
              <w:bottom w:val="single" w:sz="4" w:space="0" w:color="auto"/>
              <w:right w:val="single" w:sz="4" w:space="0" w:color="auto"/>
            </w:tcBorders>
          </w:tcPr>
          <w:p w14:paraId="2075A176" w14:textId="726F0E6A" w:rsidR="006012F6" w:rsidRPr="00BB1E87" w:rsidRDefault="006012F6" w:rsidP="009B1C87">
            <w:pPr>
              <w:pStyle w:val="Numbertablecolumnheading-centered"/>
            </w:pPr>
            <w:r>
              <w:t xml:space="preserve">Number of disabled </w:t>
            </w:r>
            <w:r w:rsidR="00823359">
              <w:t>adults</w:t>
            </w:r>
          </w:p>
        </w:tc>
      </w:tr>
      <w:tr w:rsidR="00480EEA" w14:paraId="36E7A807" w14:textId="77777777" w:rsidTr="00480EEA">
        <w:trPr>
          <w:trHeight w:val="140"/>
        </w:trPr>
        <w:tc>
          <w:tcPr>
            <w:tcW w:w="1013" w:type="pct"/>
            <w:tcBorders>
              <w:top w:val="single" w:sz="4" w:space="0" w:color="auto"/>
              <w:left w:val="single" w:sz="4" w:space="0" w:color="auto"/>
              <w:bottom w:val="nil"/>
              <w:right w:val="nil"/>
            </w:tcBorders>
          </w:tcPr>
          <w:p w14:paraId="6D3829FF" w14:textId="77777777" w:rsidR="005E5B19" w:rsidRDefault="005E5B19" w:rsidP="005E5B19">
            <w:pPr>
              <w:pStyle w:val="Numbertablecolumnheading-leftaligned"/>
            </w:pPr>
            <w:r w:rsidRPr="00884064">
              <w:t>Māori</w:t>
            </w:r>
          </w:p>
        </w:tc>
        <w:tc>
          <w:tcPr>
            <w:tcW w:w="635" w:type="pct"/>
            <w:tcBorders>
              <w:top w:val="single" w:sz="4" w:space="0" w:color="auto"/>
              <w:left w:val="nil"/>
              <w:bottom w:val="nil"/>
              <w:right w:val="nil"/>
            </w:tcBorders>
          </w:tcPr>
          <w:p w14:paraId="1EB01672" w14:textId="26DD96C4" w:rsidR="005E5B19" w:rsidRPr="00676A28" w:rsidRDefault="005E5B19" w:rsidP="005E5B19">
            <w:pPr>
              <w:pStyle w:val="Numbertablecolumnheading-centered"/>
            </w:pPr>
            <w:r w:rsidRPr="00C11E00">
              <w:t>24</w:t>
            </w:r>
          </w:p>
        </w:tc>
        <w:tc>
          <w:tcPr>
            <w:tcW w:w="693" w:type="pct"/>
            <w:tcBorders>
              <w:top w:val="single" w:sz="4" w:space="0" w:color="auto"/>
              <w:left w:val="nil"/>
              <w:bottom w:val="nil"/>
              <w:right w:val="nil"/>
            </w:tcBorders>
          </w:tcPr>
          <w:p w14:paraId="6459E229" w14:textId="424681AB" w:rsidR="005E5B19" w:rsidRPr="00676A28" w:rsidRDefault="005E5B19" w:rsidP="005E5B19">
            <w:pPr>
              <w:pStyle w:val="Numbertablecolumnheading-centered"/>
            </w:pPr>
            <w:r w:rsidRPr="00C11E00">
              <w:t>146,000</w:t>
            </w:r>
          </w:p>
        </w:tc>
        <w:tc>
          <w:tcPr>
            <w:tcW w:w="644" w:type="pct"/>
            <w:tcBorders>
              <w:top w:val="single" w:sz="4" w:space="0" w:color="auto"/>
              <w:left w:val="nil"/>
              <w:bottom w:val="nil"/>
              <w:right w:val="nil"/>
            </w:tcBorders>
          </w:tcPr>
          <w:p w14:paraId="67463B6C" w14:textId="064F0F4C" w:rsidR="005E5B19" w:rsidRPr="00676A28" w:rsidRDefault="005E5B19" w:rsidP="005E5B19">
            <w:pPr>
              <w:pStyle w:val="Numbertablecolumnheading-centered"/>
            </w:pPr>
            <w:r w:rsidRPr="00C11E00">
              <w:t>45</w:t>
            </w:r>
          </w:p>
        </w:tc>
        <w:tc>
          <w:tcPr>
            <w:tcW w:w="684" w:type="pct"/>
            <w:tcBorders>
              <w:top w:val="single" w:sz="4" w:space="0" w:color="auto"/>
              <w:left w:val="nil"/>
              <w:bottom w:val="nil"/>
              <w:right w:val="nil"/>
            </w:tcBorders>
          </w:tcPr>
          <w:p w14:paraId="0C629A18" w14:textId="0AFE2D0B" w:rsidR="005E5B19" w:rsidRPr="00676A28" w:rsidRDefault="005E5B19" w:rsidP="005E5B19">
            <w:pPr>
              <w:pStyle w:val="Numbertablecolumnheading-centered"/>
            </w:pPr>
            <w:r w:rsidRPr="00C11E00">
              <w:t>20,000</w:t>
            </w:r>
          </w:p>
        </w:tc>
        <w:tc>
          <w:tcPr>
            <w:tcW w:w="652" w:type="pct"/>
            <w:tcBorders>
              <w:top w:val="single" w:sz="4" w:space="0" w:color="auto"/>
              <w:left w:val="nil"/>
              <w:bottom w:val="nil"/>
              <w:right w:val="nil"/>
            </w:tcBorders>
          </w:tcPr>
          <w:p w14:paraId="3DBE47DC" w14:textId="6F523B3A" w:rsidR="005E5B19" w:rsidRPr="00676A28" w:rsidRDefault="005E5B19" w:rsidP="005E5B19">
            <w:pPr>
              <w:pStyle w:val="Numbertablecolumnheading-centered"/>
            </w:pPr>
            <w:r w:rsidRPr="00C11E00">
              <w:t>22</w:t>
            </w:r>
          </w:p>
        </w:tc>
        <w:tc>
          <w:tcPr>
            <w:tcW w:w="679" w:type="pct"/>
            <w:tcBorders>
              <w:top w:val="single" w:sz="4" w:space="0" w:color="auto"/>
              <w:left w:val="nil"/>
              <w:bottom w:val="nil"/>
              <w:right w:val="single" w:sz="4" w:space="0" w:color="auto"/>
            </w:tcBorders>
          </w:tcPr>
          <w:p w14:paraId="47D7A527" w14:textId="261084C7" w:rsidR="005E5B19" w:rsidRPr="00676A28" w:rsidRDefault="000A3845" w:rsidP="005E5B19">
            <w:pPr>
              <w:pStyle w:val="Numbertablecolumnheading-centered"/>
            </w:pPr>
            <w:r>
              <w:t>126,000</w:t>
            </w:r>
          </w:p>
        </w:tc>
      </w:tr>
      <w:tr w:rsidR="00480EEA" w14:paraId="1471C84A" w14:textId="77777777" w:rsidTr="00480EEA">
        <w:trPr>
          <w:trHeight w:val="284"/>
        </w:trPr>
        <w:tc>
          <w:tcPr>
            <w:tcW w:w="1013" w:type="pct"/>
            <w:tcBorders>
              <w:top w:val="nil"/>
              <w:left w:val="single" w:sz="4" w:space="0" w:color="auto"/>
              <w:bottom w:val="nil"/>
              <w:right w:val="nil"/>
            </w:tcBorders>
          </w:tcPr>
          <w:p w14:paraId="7025ECBB" w14:textId="77777777" w:rsidR="005E5B19" w:rsidRPr="00E409C9" w:rsidRDefault="005E5B19" w:rsidP="005E5B19">
            <w:pPr>
              <w:pStyle w:val="Numbertablecolumnheading-leftaligned"/>
            </w:pPr>
            <w:r w:rsidRPr="00884064">
              <w:t>European</w:t>
            </w:r>
          </w:p>
        </w:tc>
        <w:tc>
          <w:tcPr>
            <w:tcW w:w="635" w:type="pct"/>
            <w:tcBorders>
              <w:top w:val="nil"/>
              <w:left w:val="nil"/>
              <w:bottom w:val="nil"/>
              <w:right w:val="nil"/>
            </w:tcBorders>
          </w:tcPr>
          <w:p w14:paraId="79F7BA1E" w14:textId="1D81FA08" w:rsidR="005E5B19" w:rsidRPr="008C60EC" w:rsidRDefault="005E5B19" w:rsidP="005E5B19">
            <w:pPr>
              <w:pStyle w:val="Numbertablecolumnheading-centered"/>
            </w:pPr>
            <w:r w:rsidRPr="00C11E00">
              <w:t>20</w:t>
            </w:r>
          </w:p>
        </w:tc>
        <w:tc>
          <w:tcPr>
            <w:tcW w:w="693" w:type="pct"/>
            <w:tcBorders>
              <w:top w:val="nil"/>
              <w:left w:val="nil"/>
              <w:bottom w:val="nil"/>
              <w:right w:val="nil"/>
            </w:tcBorders>
          </w:tcPr>
          <w:p w14:paraId="2FABF83A" w14:textId="26F6AD3F" w:rsidR="005E5B19" w:rsidRPr="008C60EC" w:rsidRDefault="005E5B19" w:rsidP="005E5B19">
            <w:pPr>
              <w:pStyle w:val="Numbertablecolumnheading-centered"/>
            </w:pPr>
            <w:r w:rsidRPr="00C11E00">
              <w:t>575,000</w:t>
            </w:r>
          </w:p>
        </w:tc>
        <w:tc>
          <w:tcPr>
            <w:tcW w:w="644" w:type="pct"/>
            <w:tcBorders>
              <w:top w:val="nil"/>
              <w:left w:val="nil"/>
              <w:bottom w:val="nil"/>
              <w:right w:val="nil"/>
            </w:tcBorders>
          </w:tcPr>
          <w:p w14:paraId="735E8F20" w14:textId="09A18860" w:rsidR="005E5B19" w:rsidRPr="008C60EC" w:rsidRDefault="005E5B19" w:rsidP="005E5B19">
            <w:pPr>
              <w:pStyle w:val="Numbertablecolumnheading-centered"/>
            </w:pPr>
            <w:r w:rsidRPr="00C11E00">
              <w:t>32</w:t>
            </w:r>
          </w:p>
        </w:tc>
        <w:tc>
          <w:tcPr>
            <w:tcW w:w="684" w:type="pct"/>
            <w:tcBorders>
              <w:top w:val="nil"/>
              <w:left w:val="nil"/>
              <w:bottom w:val="nil"/>
              <w:right w:val="nil"/>
            </w:tcBorders>
          </w:tcPr>
          <w:p w14:paraId="0DA5B876" w14:textId="42FDEE08" w:rsidR="005E5B19" w:rsidRPr="008C60EC" w:rsidRDefault="005E5B19" w:rsidP="005E5B19">
            <w:pPr>
              <w:pStyle w:val="Numbertablecolumnheading-centered"/>
            </w:pPr>
            <w:r w:rsidRPr="00C11E00">
              <w:t>53,000</w:t>
            </w:r>
          </w:p>
        </w:tc>
        <w:tc>
          <w:tcPr>
            <w:tcW w:w="652" w:type="pct"/>
            <w:tcBorders>
              <w:top w:val="nil"/>
              <w:left w:val="nil"/>
              <w:bottom w:val="nil"/>
              <w:right w:val="nil"/>
            </w:tcBorders>
          </w:tcPr>
          <w:p w14:paraId="29A247D5" w14:textId="278C5D4C" w:rsidR="005E5B19" w:rsidRPr="008C60EC" w:rsidRDefault="005E5B19" w:rsidP="005E5B19">
            <w:pPr>
              <w:pStyle w:val="Numbertablecolumnheading-centered"/>
            </w:pPr>
            <w:r w:rsidRPr="00C11E00">
              <w:t>19</w:t>
            </w:r>
          </w:p>
        </w:tc>
        <w:tc>
          <w:tcPr>
            <w:tcW w:w="679" w:type="pct"/>
            <w:tcBorders>
              <w:top w:val="nil"/>
              <w:left w:val="nil"/>
              <w:bottom w:val="nil"/>
              <w:right w:val="single" w:sz="4" w:space="0" w:color="auto"/>
            </w:tcBorders>
          </w:tcPr>
          <w:p w14:paraId="51AA7C5C" w14:textId="23B05EC6" w:rsidR="005E5B19" w:rsidRPr="008C60EC" w:rsidRDefault="005E5B19" w:rsidP="005E5B19">
            <w:pPr>
              <w:pStyle w:val="Numbertablecolumnheading-centered"/>
            </w:pPr>
            <w:r w:rsidRPr="00C11E00">
              <w:t>5</w:t>
            </w:r>
            <w:r w:rsidR="000A3845">
              <w:t>2</w:t>
            </w:r>
            <w:r w:rsidRPr="00C11E00">
              <w:t>2,000</w:t>
            </w:r>
          </w:p>
        </w:tc>
      </w:tr>
      <w:tr w:rsidR="00480EEA" w14:paraId="58E83959" w14:textId="77777777" w:rsidTr="00480EEA">
        <w:trPr>
          <w:trHeight w:val="284"/>
        </w:trPr>
        <w:tc>
          <w:tcPr>
            <w:tcW w:w="1013" w:type="pct"/>
            <w:tcBorders>
              <w:top w:val="nil"/>
              <w:left w:val="single" w:sz="4" w:space="0" w:color="auto"/>
              <w:bottom w:val="nil"/>
              <w:right w:val="nil"/>
            </w:tcBorders>
          </w:tcPr>
          <w:p w14:paraId="6C1D83D1" w14:textId="77777777" w:rsidR="005E5B19" w:rsidRPr="00BB1E87" w:rsidRDefault="005E5B19" w:rsidP="005E5B19">
            <w:pPr>
              <w:pStyle w:val="Numbertablecolumnheading-leftaligned"/>
            </w:pPr>
            <w:r w:rsidRPr="00884064">
              <w:t>Pacific</w:t>
            </w:r>
          </w:p>
        </w:tc>
        <w:tc>
          <w:tcPr>
            <w:tcW w:w="635" w:type="pct"/>
            <w:tcBorders>
              <w:top w:val="nil"/>
              <w:left w:val="nil"/>
              <w:bottom w:val="nil"/>
              <w:right w:val="nil"/>
            </w:tcBorders>
          </w:tcPr>
          <w:p w14:paraId="4356C6F6" w14:textId="05656A06" w:rsidR="005E5B19" w:rsidRPr="008C60EC" w:rsidRDefault="005E5B19" w:rsidP="005E5B19">
            <w:pPr>
              <w:pStyle w:val="Numbertablecolumnheading-centered"/>
            </w:pPr>
            <w:r w:rsidRPr="00C11E00">
              <w:t>18</w:t>
            </w:r>
          </w:p>
        </w:tc>
        <w:tc>
          <w:tcPr>
            <w:tcW w:w="693" w:type="pct"/>
            <w:tcBorders>
              <w:top w:val="nil"/>
              <w:left w:val="nil"/>
              <w:bottom w:val="nil"/>
              <w:right w:val="nil"/>
            </w:tcBorders>
          </w:tcPr>
          <w:p w14:paraId="731BA3B4" w14:textId="276699EB" w:rsidR="005E5B19" w:rsidRPr="008C60EC" w:rsidRDefault="005E5B19" w:rsidP="005E5B19">
            <w:pPr>
              <w:pStyle w:val="Numbertablecolumnheading-centered"/>
            </w:pPr>
            <w:r w:rsidRPr="00C11E00">
              <w:t>53,000</w:t>
            </w:r>
          </w:p>
        </w:tc>
        <w:tc>
          <w:tcPr>
            <w:tcW w:w="644" w:type="pct"/>
            <w:tcBorders>
              <w:top w:val="nil"/>
              <w:left w:val="nil"/>
              <w:bottom w:val="nil"/>
              <w:right w:val="nil"/>
            </w:tcBorders>
          </w:tcPr>
          <w:p w14:paraId="06643684" w14:textId="7101F4E7" w:rsidR="005E5B19" w:rsidRPr="008C60EC" w:rsidRDefault="005E5B19" w:rsidP="005E5B19">
            <w:pPr>
              <w:pStyle w:val="Numbertablecolumnheading-centered"/>
            </w:pPr>
            <w:r w:rsidRPr="00C11E00">
              <w:t>36</w:t>
            </w:r>
          </w:p>
        </w:tc>
        <w:tc>
          <w:tcPr>
            <w:tcW w:w="684" w:type="pct"/>
            <w:tcBorders>
              <w:top w:val="nil"/>
              <w:left w:val="nil"/>
              <w:bottom w:val="nil"/>
              <w:right w:val="nil"/>
            </w:tcBorders>
          </w:tcPr>
          <w:p w14:paraId="4D8C1ED3" w14:textId="421FEC39" w:rsidR="005E5B19" w:rsidRPr="008C60EC" w:rsidRDefault="005E5B19" w:rsidP="005E5B19">
            <w:pPr>
              <w:pStyle w:val="Numbertablecolumnheading-centered"/>
            </w:pPr>
            <w:r w:rsidRPr="00C11E00">
              <w:t>5,000</w:t>
            </w:r>
          </w:p>
        </w:tc>
        <w:tc>
          <w:tcPr>
            <w:tcW w:w="652" w:type="pct"/>
            <w:tcBorders>
              <w:top w:val="nil"/>
              <w:left w:val="nil"/>
              <w:bottom w:val="nil"/>
              <w:right w:val="nil"/>
            </w:tcBorders>
          </w:tcPr>
          <w:p w14:paraId="13875953" w14:textId="2D11834B" w:rsidR="005E5B19" w:rsidRPr="008C60EC" w:rsidRDefault="005E5B19" w:rsidP="005E5B19">
            <w:pPr>
              <w:pStyle w:val="Numbertablecolumnheading-centered"/>
            </w:pPr>
            <w:r w:rsidRPr="00C11E00">
              <w:t>18</w:t>
            </w:r>
          </w:p>
        </w:tc>
        <w:tc>
          <w:tcPr>
            <w:tcW w:w="679" w:type="pct"/>
            <w:tcBorders>
              <w:top w:val="nil"/>
              <w:left w:val="nil"/>
              <w:bottom w:val="nil"/>
              <w:right w:val="single" w:sz="4" w:space="0" w:color="auto"/>
            </w:tcBorders>
          </w:tcPr>
          <w:p w14:paraId="4A7A825E" w14:textId="13161AA7" w:rsidR="005E5B19" w:rsidRPr="008C60EC" w:rsidRDefault="005E5B19" w:rsidP="005E5B19">
            <w:pPr>
              <w:pStyle w:val="Numbertablecolumnheading-centered"/>
            </w:pPr>
            <w:r w:rsidRPr="00C11E00">
              <w:t>48,000</w:t>
            </w:r>
          </w:p>
        </w:tc>
      </w:tr>
      <w:tr w:rsidR="00480EEA" w14:paraId="34DB1DA0" w14:textId="77777777" w:rsidTr="00480EEA">
        <w:trPr>
          <w:trHeight w:val="284"/>
        </w:trPr>
        <w:tc>
          <w:tcPr>
            <w:tcW w:w="1013" w:type="pct"/>
            <w:tcBorders>
              <w:top w:val="nil"/>
              <w:left w:val="single" w:sz="4" w:space="0" w:color="auto"/>
              <w:bottom w:val="single" w:sz="4" w:space="0" w:color="auto"/>
              <w:right w:val="nil"/>
            </w:tcBorders>
          </w:tcPr>
          <w:p w14:paraId="249A7E53" w14:textId="77777777" w:rsidR="005E5B19" w:rsidRPr="00BB1E87" w:rsidRDefault="005E5B19" w:rsidP="005E5B19">
            <w:pPr>
              <w:pStyle w:val="Numbertablecolumnheading-leftaligned"/>
            </w:pPr>
            <w:r w:rsidRPr="00884064">
              <w:t xml:space="preserve">Total </w:t>
            </w:r>
          </w:p>
        </w:tc>
        <w:tc>
          <w:tcPr>
            <w:tcW w:w="635" w:type="pct"/>
            <w:tcBorders>
              <w:top w:val="nil"/>
              <w:left w:val="nil"/>
              <w:bottom w:val="single" w:sz="4" w:space="0" w:color="auto"/>
              <w:right w:val="nil"/>
            </w:tcBorders>
          </w:tcPr>
          <w:p w14:paraId="55ECFB4F" w14:textId="43B8E715" w:rsidR="005E5B19" w:rsidRPr="008C60EC" w:rsidRDefault="005E5B19" w:rsidP="005E5B19">
            <w:pPr>
              <w:pStyle w:val="Numbertablecolumnheading-centered"/>
            </w:pPr>
            <w:r w:rsidRPr="00C11E00">
              <w:t>18</w:t>
            </w:r>
          </w:p>
        </w:tc>
        <w:tc>
          <w:tcPr>
            <w:tcW w:w="693" w:type="pct"/>
            <w:tcBorders>
              <w:top w:val="nil"/>
              <w:left w:val="nil"/>
              <w:bottom w:val="single" w:sz="4" w:space="0" w:color="auto"/>
              <w:right w:val="nil"/>
            </w:tcBorders>
          </w:tcPr>
          <w:p w14:paraId="7F71F8A3" w14:textId="55252A6C" w:rsidR="005E5B19" w:rsidRPr="008C60EC" w:rsidRDefault="005E5B19" w:rsidP="005E5B19">
            <w:pPr>
              <w:pStyle w:val="Numbertablecolumnheading-centered"/>
            </w:pPr>
            <w:r w:rsidRPr="00C11E00">
              <w:t>753,000</w:t>
            </w:r>
          </w:p>
        </w:tc>
        <w:tc>
          <w:tcPr>
            <w:tcW w:w="644" w:type="pct"/>
            <w:tcBorders>
              <w:top w:val="nil"/>
              <w:left w:val="nil"/>
              <w:bottom w:val="single" w:sz="4" w:space="0" w:color="auto"/>
              <w:right w:val="nil"/>
            </w:tcBorders>
          </w:tcPr>
          <w:p w14:paraId="525C777B" w14:textId="6746C55C" w:rsidR="005E5B19" w:rsidRPr="008C60EC" w:rsidRDefault="005E5B19" w:rsidP="005E5B19">
            <w:pPr>
              <w:pStyle w:val="Numbertablecolumnheading-centered"/>
            </w:pPr>
            <w:r w:rsidRPr="00C11E00">
              <w:t>29</w:t>
            </w:r>
          </w:p>
        </w:tc>
        <w:tc>
          <w:tcPr>
            <w:tcW w:w="684" w:type="pct"/>
            <w:tcBorders>
              <w:top w:val="nil"/>
              <w:left w:val="nil"/>
              <w:bottom w:val="single" w:sz="4" w:space="0" w:color="auto"/>
              <w:right w:val="nil"/>
            </w:tcBorders>
          </w:tcPr>
          <w:p w14:paraId="406083AC" w14:textId="3E3343BF" w:rsidR="005E5B19" w:rsidRPr="008C60EC" w:rsidRDefault="005E5B19" w:rsidP="005E5B19">
            <w:pPr>
              <w:pStyle w:val="Numbertablecolumnheading-centered"/>
            </w:pPr>
            <w:r w:rsidRPr="00C11E00">
              <w:t>64,000</w:t>
            </w:r>
          </w:p>
        </w:tc>
        <w:tc>
          <w:tcPr>
            <w:tcW w:w="652" w:type="pct"/>
            <w:tcBorders>
              <w:top w:val="nil"/>
              <w:left w:val="nil"/>
              <w:bottom w:val="single" w:sz="4" w:space="0" w:color="auto"/>
              <w:right w:val="nil"/>
            </w:tcBorders>
          </w:tcPr>
          <w:p w14:paraId="51A83D18" w14:textId="4C6B9766" w:rsidR="005E5B19" w:rsidRPr="008C60EC" w:rsidRDefault="005E5B19" w:rsidP="005E5B19">
            <w:pPr>
              <w:pStyle w:val="Numbertablecolumnheading-centered"/>
            </w:pPr>
            <w:r w:rsidRPr="00C11E00">
              <w:t>17</w:t>
            </w:r>
          </w:p>
        </w:tc>
        <w:tc>
          <w:tcPr>
            <w:tcW w:w="679" w:type="pct"/>
            <w:tcBorders>
              <w:top w:val="nil"/>
              <w:left w:val="nil"/>
              <w:bottom w:val="single" w:sz="4" w:space="0" w:color="auto"/>
              <w:right w:val="single" w:sz="4" w:space="0" w:color="auto"/>
            </w:tcBorders>
          </w:tcPr>
          <w:p w14:paraId="3E3C92DE" w14:textId="3893556F" w:rsidR="005E5B19" w:rsidRPr="008C60EC" w:rsidRDefault="005E5B19" w:rsidP="005E5B19">
            <w:pPr>
              <w:pStyle w:val="Numbertablecolumnheading-centered"/>
            </w:pPr>
            <w:r w:rsidRPr="00C11E00">
              <w:t>688,000</w:t>
            </w:r>
          </w:p>
        </w:tc>
      </w:tr>
      <w:tr w:rsidR="006012F6" w14:paraId="72E440A3" w14:textId="77777777" w:rsidTr="00480EEA">
        <w:trPr>
          <w:trHeight w:val="284"/>
        </w:trPr>
        <w:tc>
          <w:tcPr>
            <w:tcW w:w="5000" w:type="pct"/>
            <w:gridSpan w:val="7"/>
            <w:tcBorders>
              <w:top w:val="single" w:sz="4" w:space="0" w:color="auto"/>
              <w:left w:val="single" w:sz="4" w:space="0" w:color="auto"/>
              <w:right w:val="single" w:sz="4" w:space="0" w:color="auto"/>
            </w:tcBorders>
            <w:vAlign w:val="center"/>
          </w:tcPr>
          <w:p w14:paraId="550C47D5" w14:textId="4602AD19" w:rsidR="006012F6" w:rsidRDefault="006012F6" w:rsidP="009B1C87">
            <w:pPr>
              <w:pStyle w:val="Numbertablecolumnheading-centered"/>
              <w:jc w:val="left"/>
            </w:pPr>
            <w:r w:rsidRPr="00010257">
              <w:t>People who belong to more than one ethnic group are included in each.</w:t>
            </w:r>
          </w:p>
          <w:p w14:paraId="631130E0" w14:textId="49B6B205" w:rsidR="000872CB" w:rsidRDefault="000872CB" w:rsidP="000872CB">
            <w:pPr>
              <w:pStyle w:val="Numbertablecolumnheading-centered"/>
              <w:jc w:val="left"/>
            </w:pPr>
            <w:r w:rsidRPr="006B1F0D">
              <w:t xml:space="preserve">People with a </w:t>
            </w:r>
            <w:r>
              <w:t xml:space="preserve">non-specified LGBTIQ+ status </w:t>
            </w:r>
            <w:r w:rsidRPr="006B1F0D">
              <w:t>are included in the total column</w:t>
            </w:r>
            <w:r>
              <w:t xml:space="preserve"> only</w:t>
            </w:r>
            <w:r w:rsidRPr="006B1F0D">
              <w:t>.</w:t>
            </w:r>
          </w:p>
          <w:p w14:paraId="532CA5DF" w14:textId="77777777" w:rsidR="006012F6" w:rsidRPr="008C60EC" w:rsidRDefault="006012F6" w:rsidP="009B1C87">
            <w:pPr>
              <w:pStyle w:val="Numbertablecolumnheading-centered"/>
              <w:jc w:val="left"/>
            </w:pPr>
            <w:r w:rsidRPr="4A07F070">
              <w:rPr>
                <w:b/>
              </w:rPr>
              <w:t>Source</w:t>
            </w:r>
            <w:r>
              <w:t>: Stats NZ</w:t>
            </w:r>
          </w:p>
        </w:tc>
      </w:tr>
    </w:tbl>
    <w:p w14:paraId="500E0E68" w14:textId="16EFF5C0" w:rsidR="00C21C47" w:rsidRDefault="6F0451FE" w:rsidP="005E5B19">
      <w:pPr>
        <w:spacing w:before="240"/>
      </w:pPr>
      <w:r w:rsidRPr="3524BD2A">
        <w:t>The LGBTIQ+ population has a younger age-profile than that of the total population so age- adjustment is appropriate to compare overall disability rates.</w:t>
      </w:r>
      <w:r w:rsidR="5D3B6FF3" w:rsidRPr="3524BD2A">
        <w:t xml:space="preserve"> </w:t>
      </w:r>
    </w:p>
    <w:p w14:paraId="3C82F7ED" w14:textId="72ED61A8" w:rsidR="00AA5C89" w:rsidRDefault="00AA5C89" w:rsidP="005E5B19">
      <w:pPr>
        <w:spacing w:before="240"/>
      </w:pPr>
      <w:r>
        <w:t>The</w:t>
      </w:r>
      <w:r w:rsidRPr="005C4878">
        <w:t xml:space="preserve"> </w:t>
      </w:r>
      <w:r>
        <w:t>disability</w:t>
      </w:r>
      <w:r w:rsidDel="004B706E">
        <w:t xml:space="preserve"> </w:t>
      </w:r>
      <w:r w:rsidRPr="005C4878">
        <w:t xml:space="preserve">rate for the LGBTIQ+ population </w:t>
      </w:r>
      <w:r>
        <w:t xml:space="preserve">after age-adjustment was </w:t>
      </w:r>
      <w:r w:rsidRPr="005C4878">
        <w:t>31 percent</w:t>
      </w:r>
      <w:r>
        <w:t xml:space="preserve"> compared </w:t>
      </w:r>
      <w:r w:rsidR="00CA7CD3">
        <w:t>with</w:t>
      </w:r>
      <w:r>
        <w:t xml:space="preserve"> the unadjusted rate of 29 percent. </w:t>
      </w:r>
    </w:p>
    <w:p w14:paraId="005B366F" w14:textId="4926E459" w:rsidR="005E5B19" w:rsidRDefault="005E5B19" w:rsidP="005E5B19">
      <w:pPr>
        <w:pStyle w:val="Heading2"/>
      </w:pPr>
      <w:bookmarkStart w:id="100" w:name="_Toc187762878"/>
      <w:bookmarkStart w:id="101" w:name="_Toc187763572"/>
      <w:bookmarkStart w:id="102" w:name="_Toc187763839"/>
      <w:bookmarkStart w:id="103" w:name="_Toc190856842"/>
      <w:r>
        <w:t>4.5 By region</w:t>
      </w:r>
      <w:bookmarkEnd w:id="100"/>
      <w:bookmarkEnd w:id="101"/>
      <w:bookmarkEnd w:id="102"/>
      <w:bookmarkEnd w:id="103"/>
    </w:p>
    <w:p w14:paraId="7C2A165A" w14:textId="727F244B" w:rsidR="00FD783B" w:rsidRDefault="00FD783B" w:rsidP="00FD783B">
      <w:r>
        <w:t>Of the 12 regions, four had disability prevalence rates that were significantly different to the national rate of 17 percent.</w:t>
      </w:r>
      <w:r w:rsidR="00A02E1C">
        <w:t xml:space="preserve"> </w:t>
      </w:r>
      <w:r>
        <w:t>Three were higher and one lower.</w:t>
      </w:r>
    </w:p>
    <w:p w14:paraId="1213D2E1" w14:textId="6E7159EA" w:rsidR="0085181A" w:rsidRDefault="00FD783B" w:rsidP="00FD783B">
      <w:r>
        <w:t>The regions with disability rates higher than the national rate were Northland (23%), Manawatū-Whanganui (21%), and Taranaki (21%).</w:t>
      </w:r>
      <w:r w:rsidR="00A02E1C">
        <w:t xml:space="preserve"> </w:t>
      </w:r>
      <w:r w:rsidR="0071767D">
        <w:t>Co</w:t>
      </w:r>
      <w:r w:rsidR="005D3C0B">
        <w:t xml:space="preserve">ntributors to </w:t>
      </w:r>
      <w:r w:rsidR="0071767D">
        <w:t xml:space="preserve">the </w:t>
      </w:r>
      <w:r w:rsidR="005D3C0B">
        <w:t>higher rates in</w:t>
      </w:r>
      <w:r w:rsidR="005E3FAB">
        <w:t xml:space="preserve"> </w:t>
      </w:r>
      <w:r w:rsidR="006A47A9">
        <w:t xml:space="preserve">these regions </w:t>
      </w:r>
      <w:r w:rsidR="005D3C0B">
        <w:t xml:space="preserve">were </w:t>
      </w:r>
      <w:r w:rsidR="005E3FAB">
        <w:t xml:space="preserve">older-than-average age profiles, </w:t>
      </w:r>
      <w:r w:rsidR="006A47A9">
        <w:t xml:space="preserve">a high proportion of Māori, and a low proportion of Asian people living </w:t>
      </w:r>
      <w:r w:rsidR="008E4DB1">
        <w:t>there</w:t>
      </w:r>
      <w:r w:rsidR="006A47A9">
        <w:t>.</w:t>
      </w:r>
    </w:p>
    <w:p w14:paraId="784F3782" w14:textId="4F99A24D" w:rsidR="00FD783B" w:rsidRDefault="34368A65" w:rsidP="3524BD2A">
      <w:r w:rsidRPr="3524BD2A">
        <w:t>Auckland (14%) ha</w:t>
      </w:r>
      <w:r w:rsidR="21704D54" w:rsidRPr="3524BD2A">
        <w:t>d</w:t>
      </w:r>
      <w:r w:rsidRPr="3524BD2A">
        <w:t xml:space="preserve"> a disability rate lower than the national rate.</w:t>
      </w:r>
      <w:r w:rsidR="5D3B6FF3" w:rsidRPr="3524BD2A">
        <w:t xml:space="preserve"> </w:t>
      </w:r>
      <w:r w:rsidRPr="3524BD2A">
        <w:t>Even so</w:t>
      </w:r>
      <w:r w:rsidR="2D7F8727" w:rsidRPr="3524BD2A">
        <w:t>,</w:t>
      </w:r>
      <w:r w:rsidRPr="3524BD2A">
        <w:t xml:space="preserve"> over</w:t>
      </w:r>
      <w:r w:rsidR="2D7F8727" w:rsidRPr="3524BD2A">
        <w:t xml:space="preserve"> a quarter of</w:t>
      </w:r>
      <w:r w:rsidRPr="3524BD2A">
        <w:t xml:space="preserve"> disabled people lived in Auckland</w:t>
      </w:r>
      <w:r w:rsidR="6B0A42B4" w:rsidRPr="3524BD2A">
        <w:t>,</w:t>
      </w:r>
      <w:r w:rsidRPr="3524BD2A">
        <w:t xml:space="preserve"> reflecting its status as the largest region in N</w:t>
      </w:r>
      <w:r w:rsidR="6492A1D4" w:rsidRPr="3524BD2A">
        <w:t xml:space="preserve">ew </w:t>
      </w:r>
      <w:r w:rsidRPr="3524BD2A">
        <w:t>Z</w:t>
      </w:r>
      <w:r w:rsidR="6492A1D4" w:rsidRPr="3524BD2A">
        <w:t>ealand</w:t>
      </w:r>
      <w:r w:rsidRPr="3524BD2A">
        <w:t xml:space="preserve"> by population size.</w:t>
      </w:r>
      <w:r w:rsidR="2D77719D" w:rsidRPr="3524BD2A">
        <w:t xml:space="preserve"> The low rate was </w:t>
      </w:r>
      <w:r w:rsidR="131031B9" w:rsidRPr="3524BD2A">
        <w:t>driven by Auckland having a younger-than-average age profile, high proportion of Asian people, and high pro</w:t>
      </w:r>
      <w:r w:rsidR="55E304B3" w:rsidRPr="3524BD2A">
        <w:t>portion of recent migrants</w:t>
      </w:r>
      <w:r w:rsidR="727555D9" w:rsidRPr="3524BD2A">
        <w:t xml:space="preserve"> (New Zealand has an ‘acceptable standard of health’ criteria which </w:t>
      </w:r>
      <w:r w:rsidR="1ED4D474" w:rsidRPr="3524BD2A">
        <w:t>often s</w:t>
      </w:r>
      <w:r w:rsidR="1C7D3730" w:rsidRPr="3524BD2A">
        <w:t xml:space="preserve">tops disabled people or people with health conditions from </w:t>
      </w:r>
      <w:r w:rsidR="6FE1E9D5" w:rsidRPr="3524BD2A">
        <w:t>immigrating to N</w:t>
      </w:r>
      <w:r w:rsidR="14A68FB4" w:rsidRPr="3524BD2A">
        <w:t xml:space="preserve">ew </w:t>
      </w:r>
      <w:r w:rsidR="6FE1E9D5" w:rsidRPr="3524BD2A">
        <w:t>Z</w:t>
      </w:r>
      <w:r w:rsidR="14A68FB4" w:rsidRPr="3524BD2A">
        <w:t>ealand</w:t>
      </w:r>
      <w:r w:rsidR="1C7D3730" w:rsidRPr="3524BD2A">
        <w:t xml:space="preserve">). </w:t>
      </w:r>
      <w:r w:rsidR="727555D9" w:rsidRPr="3524BD2A">
        <w:t xml:space="preserve"> </w:t>
      </w:r>
    </w:p>
    <w:p w14:paraId="5071AEAE" w14:textId="77777777" w:rsidR="00405836" w:rsidRDefault="00405836">
      <w:pPr>
        <w:spacing w:after="160" w:line="259" w:lineRule="auto"/>
        <w:rPr>
          <w:rFonts w:eastAsiaTheme="majorEastAsia" w:cstheme="majorBidi"/>
          <w:bCs/>
          <w:noProof/>
          <w:color w:val="4E5B61"/>
          <w:sz w:val="40"/>
          <w:szCs w:val="28"/>
          <w:lang w:eastAsia="en-NZ"/>
        </w:rPr>
      </w:pPr>
      <w:bookmarkStart w:id="104" w:name="_Toc187762879"/>
      <w:bookmarkStart w:id="105" w:name="_Toc187763573"/>
      <w:bookmarkStart w:id="106" w:name="_Toc187763840"/>
      <w:r>
        <w:br w:type="page"/>
      </w:r>
    </w:p>
    <w:p w14:paraId="3CDBEF55" w14:textId="3170D394" w:rsidR="00626B11" w:rsidRDefault="00626B11" w:rsidP="00626B11">
      <w:pPr>
        <w:pStyle w:val="Heading1"/>
      </w:pPr>
      <w:bookmarkStart w:id="107" w:name="_Toc190856843"/>
      <w:r>
        <w:t xml:space="preserve">5. </w:t>
      </w:r>
      <w:r w:rsidRPr="00024085">
        <w:t xml:space="preserve">HDS findings about </w:t>
      </w:r>
      <w:r>
        <w:t>functional domains</w:t>
      </w:r>
      <w:bookmarkEnd w:id="104"/>
      <w:bookmarkEnd w:id="105"/>
      <w:bookmarkEnd w:id="106"/>
      <w:bookmarkEnd w:id="107"/>
    </w:p>
    <w:p w14:paraId="5659BF0F" w14:textId="77777777" w:rsidR="00274DBD" w:rsidRDefault="00732B56" w:rsidP="00436CFE">
      <w:pPr>
        <w:pStyle w:val="NoSpacing"/>
        <w:spacing w:after="240"/>
      </w:pPr>
      <w:r>
        <w:t>The number and type of functional domains included in a survey will directly affect the number of people counted as disabled. Being disabled in a functional domain means that a person has difficulty functioning at or above the threshold set for that domain by the survey.</w:t>
      </w:r>
      <w:r w:rsidR="00A02E1C">
        <w:t xml:space="preserve"> </w:t>
      </w:r>
    </w:p>
    <w:p w14:paraId="67172481" w14:textId="3AE74BF5" w:rsidR="00436CFE" w:rsidRDefault="00732B56" w:rsidP="00436CFE">
      <w:pPr>
        <w:pStyle w:val="NoSpacing"/>
        <w:spacing w:after="240"/>
      </w:pPr>
      <w:r>
        <w:t>To count as a disabled person in the HDS</w:t>
      </w:r>
      <w:r w:rsidR="00312ECE">
        <w:t>,</w:t>
      </w:r>
      <w:r>
        <w:t xml:space="preserve"> the respondent must be disabled in at least one of the domains that are included for their </w:t>
      </w:r>
      <w:r w:rsidR="00751C74">
        <w:t>age group</w:t>
      </w:r>
      <w:r>
        <w:t>.</w:t>
      </w:r>
      <w:r w:rsidR="00A02E1C">
        <w:t xml:space="preserve"> </w:t>
      </w:r>
      <w:r>
        <w:t>The domains differ between adults and children.</w:t>
      </w:r>
      <w:r w:rsidR="00A02E1C">
        <w:t xml:space="preserve"> </w:t>
      </w:r>
      <w:r>
        <w:t>This section provides</w:t>
      </w:r>
      <w:r w:rsidR="00A02E1C">
        <w:t xml:space="preserve"> </w:t>
      </w:r>
      <w:r w:rsidRPr="00A935A0">
        <w:rPr>
          <w:rFonts w:cstheme="minorHAnsi"/>
        </w:rPr>
        <w:t xml:space="preserve">information about the </w:t>
      </w:r>
      <w:r>
        <w:rPr>
          <w:rFonts w:cstheme="minorHAnsi"/>
        </w:rPr>
        <w:t xml:space="preserve">functional </w:t>
      </w:r>
      <w:r w:rsidRPr="00A935A0">
        <w:rPr>
          <w:rFonts w:cstheme="minorHAnsi"/>
        </w:rPr>
        <w:t xml:space="preserve">domains </w:t>
      </w:r>
      <w:r>
        <w:rPr>
          <w:rFonts w:cstheme="minorHAnsi"/>
        </w:rPr>
        <w:t>that are most prevalent by demographic groups</w:t>
      </w:r>
      <w:r w:rsidRPr="00A935A0">
        <w:rPr>
          <w:rFonts w:cstheme="minorHAnsi"/>
        </w:rPr>
        <w:t>.</w:t>
      </w:r>
      <w:r w:rsidRPr="00F70F31">
        <w:t xml:space="preserve"> </w:t>
      </w:r>
    </w:p>
    <w:p w14:paraId="0C476650" w14:textId="30CBC782" w:rsidR="00732B56" w:rsidRDefault="00732B56" w:rsidP="00732B56">
      <w:pPr>
        <w:pStyle w:val="NoSpacing"/>
      </w:pPr>
      <w:r w:rsidRPr="003D1506">
        <w:rPr>
          <w:bCs/>
        </w:rPr>
        <w:t>For sampling error on all estimates</w:t>
      </w:r>
      <w:r w:rsidR="00595E09" w:rsidRPr="001A5EDD">
        <w:rPr>
          <w:bCs/>
        </w:rPr>
        <w:t>,</w:t>
      </w:r>
      <w:r w:rsidRPr="001A5EDD">
        <w:rPr>
          <w:bCs/>
        </w:rPr>
        <w:t xml:space="preserve"> see</w:t>
      </w:r>
      <w:r w:rsidRPr="009C5E4F">
        <w:t xml:space="preserve"> the </w:t>
      </w:r>
      <w:r w:rsidR="002160EB">
        <w:t xml:space="preserve">Excel tables </w:t>
      </w:r>
      <w:r w:rsidR="00062923">
        <w:t>available for download</w:t>
      </w:r>
      <w:r w:rsidR="002160EB">
        <w:t xml:space="preserve"> </w:t>
      </w:r>
      <w:r w:rsidR="001A5EDD">
        <w:t>from</w:t>
      </w:r>
      <w:r w:rsidR="00323BB2">
        <w:t xml:space="preserve"> </w:t>
      </w:r>
      <w:hyperlink r:id="rId35" w:history="1">
        <w:r w:rsidR="00323BB2" w:rsidRPr="00D2238A">
          <w:rPr>
            <w:rStyle w:val="Hyperlink"/>
            <w:rFonts w:ascii="Calibri" w:hAnsi="Calibri"/>
          </w:rPr>
          <w:t>Disability statistics: 2023</w:t>
        </w:r>
      </w:hyperlink>
      <w:r w:rsidR="001A5EDD">
        <w:t>.</w:t>
      </w:r>
      <w:r w:rsidRPr="009C5E4F">
        <w:t xml:space="preserve"> </w:t>
      </w:r>
    </w:p>
    <w:p w14:paraId="354492C6" w14:textId="19BF5FCA" w:rsidR="00626B11" w:rsidRDefault="009C403A" w:rsidP="00626B11">
      <w:pPr>
        <w:pStyle w:val="Heading2"/>
      </w:pPr>
      <w:bookmarkStart w:id="108" w:name="_Toc187762880"/>
      <w:bookmarkStart w:id="109" w:name="_Toc187763574"/>
      <w:bookmarkStart w:id="110" w:name="_Toc187763841"/>
      <w:bookmarkStart w:id="111" w:name="_Toc190856844"/>
      <w:r>
        <w:t>5</w:t>
      </w:r>
      <w:r w:rsidR="00626B11">
        <w:t xml:space="preserve">.1 </w:t>
      </w:r>
      <w:r w:rsidR="00D14529">
        <w:t>Functional domains for a</w:t>
      </w:r>
      <w:r>
        <w:t>dults</w:t>
      </w:r>
      <w:bookmarkEnd w:id="108"/>
      <w:bookmarkEnd w:id="109"/>
      <w:bookmarkEnd w:id="110"/>
      <w:bookmarkEnd w:id="111"/>
      <w:r w:rsidR="00A02E1C">
        <w:t xml:space="preserve"> </w:t>
      </w:r>
    </w:p>
    <w:p w14:paraId="6C560FE8" w14:textId="18C5A9F0" w:rsidR="00720145" w:rsidRDefault="00AC0100" w:rsidP="00AC0100">
      <w:pPr>
        <w:rPr>
          <w:lang w:eastAsia="en-NZ"/>
        </w:rPr>
      </w:pPr>
      <w:r>
        <w:rPr>
          <w:lang w:eastAsia="en-NZ"/>
        </w:rPr>
        <w:t>The</w:t>
      </w:r>
      <w:r w:rsidR="00922FB5">
        <w:rPr>
          <w:lang w:eastAsia="en-NZ"/>
        </w:rPr>
        <w:t xml:space="preserve"> two</w:t>
      </w:r>
      <w:r>
        <w:rPr>
          <w:lang w:eastAsia="en-NZ"/>
        </w:rPr>
        <w:t xml:space="preserve"> </w:t>
      </w:r>
      <w:r w:rsidRPr="001C3832">
        <w:rPr>
          <w:lang w:eastAsia="en-NZ"/>
        </w:rPr>
        <w:t xml:space="preserve">highest </w:t>
      </w:r>
      <w:r>
        <w:rPr>
          <w:lang w:eastAsia="en-NZ"/>
        </w:rPr>
        <w:t xml:space="preserve">disability </w:t>
      </w:r>
      <w:r w:rsidRPr="001C3832">
        <w:rPr>
          <w:lang w:eastAsia="en-NZ"/>
        </w:rPr>
        <w:t>rate</w:t>
      </w:r>
      <w:r>
        <w:rPr>
          <w:lang w:eastAsia="en-NZ"/>
        </w:rPr>
        <w:t>s</w:t>
      </w:r>
      <w:r w:rsidRPr="001C3832">
        <w:rPr>
          <w:lang w:eastAsia="en-NZ"/>
        </w:rPr>
        <w:t xml:space="preserve"> </w:t>
      </w:r>
      <w:r>
        <w:rPr>
          <w:lang w:eastAsia="en-NZ"/>
        </w:rPr>
        <w:t>for adults were</w:t>
      </w:r>
      <w:r w:rsidR="00922FB5">
        <w:rPr>
          <w:lang w:eastAsia="en-NZ"/>
        </w:rPr>
        <w:t xml:space="preserve"> both</w:t>
      </w:r>
      <w:r>
        <w:rPr>
          <w:lang w:eastAsia="en-NZ"/>
        </w:rPr>
        <w:t xml:space="preserve"> </w:t>
      </w:r>
      <w:r w:rsidR="00B85906">
        <w:rPr>
          <w:lang w:eastAsia="en-NZ"/>
        </w:rPr>
        <w:t>in</w:t>
      </w:r>
      <w:r w:rsidR="00C5054A">
        <w:rPr>
          <w:lang w:eastAsia="en-NZ"/>
        </w:rPr>
        <w:t xml:space="preserve"> physical functioning</w:t>
      </w:r>
      <w:r w:rsidR="00BF1A2A">
        <w:rPr>
          <w:lang w:eastAsia="en-NZ"/>
        </w:rPr>
        <w:t xml:space="preserve"> domains</w:t>
      </w:r>
      <w:r>
        <w:rPr>
          <w:lang w:eastAsia="en-NZ"/>
        </w:rPr>
        <w:t xml:space="preserve"> –</w:t>
      </w:r>
      <w:r w:rsidR="00BF1A2A">
        <w:rPr>
          <w:lang w:eastAsia="en-NZ"/>
        </w:rPr>
        <w:t xml:space="preserve"> walking and flexibility/dexterity. </w:t>
      </w:r>
      <w:r w:rsidR="00141F53">
        <w:rPr>
          <w:lang w:eastAsia="en-NZ"/>
        </w:rPr>
        <w:t>Seven</w:t>
      </w:r>
      <w:r w:rsidR="003755EA">
        <w:rPr>
          <w:lang w:eastAsia="en-NZ"/>
        </w:rPr>
        <w:t xml:space="preserve"> </w:t>
      </w:r>
      <w:r>
        <w:rPr>
          <w:lang w:eastAsia="en-NZ"/>
        </w:rPr>
        <w:t xml:space="preserve">percent of all adults had sufficient difficulty </w:t>
      </w:r>
      <w:r w:rsidR="00047321">
        <w:rPr>
          <w:lang w:eastAsia="en-NZ"/>
        </w:rPr>
        <w:t xml:space="preserve">with </w:t>
      </w:r>
      <w:r>
        <w:rPr>
          <w:lang w:eastAsia="en-NZ"/>
        </w:rPr>
        <w:t>walking to be counted as disabled because of it</w:t>
      </w:r>
      <w:r w:rsidR="00D6085C">
        <w:rPr>
          <w:lang w:eastAsia="en-NZ"/>
        </w:rPr>
        <w:t xml:space="preserve">, and 6 percent </w:t>
      </w:r>
      <w:r w:rsidR="00141F53">
        <w:rPr>
          <w:lang w:eastAsia="en-NZ"/>
        </w:rPr>
        <w:t xml:space="preserve">because of difficulties with flexibility or dexterity. </w:t>
      </w:r>
    </w:p>
    <w:p w14:paraId="45B9DBFD" w14:textId="64820DBE" w:rsidR="00AC0100" w:rsidRDefault="00047321" w:rsidP="00AC0100">
      <w:pPr>
        <w:rPr>
          <w:b/>
          <w:bCs/>
          <w:lang w:eastAsia="en-NZ"/>
        </w:rPr>
      </w:pPr>
      <w:r>
        <w:rPr>
          <w:lang w:eastAsia="en-NZ"/>
        </w:rPr>
        <w:t xml:space="preserve">The seeing domain had the third highest rate, at 4 percent. </w:t>
      </w:r>
    </w:p>
    <w:p w14:paraId="37022606" w14:textId="5D993090" w:rsidR="00AC0100" w:rsidRPr="00E6628C" w:rsidRDefault="00AC0100" w:rsidP="00AC0100">
      <w:pPr>
        <w:pStyle w:val="Figureandtablenumbers"/>
        <w:spacing w:before="0"/>
      </w:pPr>
      <w:r>
        <w:t xml:space="preserve">Table </w:t>
      </w:r>
      <w:r w:rsidR="008E4A93">
        <w:t>7</w:t>
      </w:r>
    </w:p>
    <w:p w14:paraId="68798314" w14:textId="781DF5A8" w:rsidR="00AC0100" w:rsidRPr="000275D8" w:rsidRDefault="008E4A93" w:rsidP="00AC0100">
      <w:pPr>
        <w:pStyle w:val="Tabletitle-forhiding"/>
      </w:pPr>
      <w:bookmarkStart w:id="112" w:name="_Toc190426276"/>
      <w:r>
        <w:t>7</w:t>
      </w:r>
      <w:r w:rsidR="00AC0100">
        <w:t xml:space="preserve"> </w:t>
      </w:r>
      <w:r w:rsidR="00B77115">
        <w:t xml:space="preserve">Functional domain disability rates </w:t>
      </w:r>
      <w:r w:rsidR="00AC0100">
        <w:t>for adults</w:t>
      </w:r>
      <w:bookmarkEnd w:id="112"/>
      <w:r w:rsidR="00AC0100">
        <w:t xml:space="preserve"> </w:t>
      </w:r>
    </w:p>
    <w:tbl>
      <w:tblPr>
        <w:tblW w:w="7083"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1984"/>
        <w:gridCol w:w="142"/>
        <w:gridCol w:w="2410"/>
      </w:tblGrid>
      <w:tr w:rsidR="00AC0100" w14:paraId="45B15BC3" w14:textId="77777777" w:rsidTr="00D53460">
        <w:trPr>
          <w:trHeight w:val="420"/>
        </w:trPr>
        <w:tc>
          <w:tcPr>
            <w:tcW w:w="7083" w:type="dxa"/>
            <w:gridSpan w:val="4"/>
            <w:tcBorders>
              <w:left w:val="single" w:sz="4" w:space="0" w:color="auto"/>
              <w:bottom w:val="single" w:sz="4" w:space="0" w:color="auto"/>
              <w:right w:val="single" w:sz="4" w:space="0" w:color="auto"/>
            </w:tcBorders>
            <w:vAlign w:val="center"/>
          </w:tcPr>
          <w:p w14:paraId="18A67A5F" w14:textId="2D5B0034" w:rsidR="00AC0100" w:rsidRDefault="00B77115" w:rsidP="009B1C87">
            <w:pPr>
              <w:pStyle w:val="Tabletitle1"/>
            </w:pPr>
            <w:r>
              <w:t xml:space="preserve">Functional domain disability rates for adults </w:t>
            </w:r>
          </w:p>
        </w:tc>
      </w:tr>
      <w:tr w:rsidR="00316174" w14:paraId="35D9602F" w14:textId="77777777" w:rsidTr="00D53460">
        <w:trPr>
          <w:trHeight w:val="420"/>
        </w:trPr>
        <w:tc>
          <w:tcPr>
            <w:tcW w:w="2547" w:type="dxa"/>
            <w:tcBorders>
              <w:top w:val="single" w:sz="4" w:space="0" w:color="auto"/>
              <w:left w:val="single" w:sz="4" w:space="0" w:color="auto"/>
              <w:bottom w:val="single" w:sz="4" w:space="0" w:color="auto"/>
              <w:right w:val="single" w:sz="4" w:space="0" w:color="auto"/>
            </w:tcBorders>
            <w:vAlign w:val="center"/>
          </w:tcPr>
          <w:p w14:paraId="401A2C18" w14:textId="4FEC2AE5" w:rsidR="00AC0100" w:rsidRPr="004A691B" w:rsidRDefault="00D5573D" w:rsidP="009B1C87">
            <w:pPr>
              <w:pStyle w:val="Numbertablecolumnheading-leftaligned"/>
            </w:pPr>
            <w:r>
              <w:t>Functional domains</w:t>
            </w:r>
            <w:r w:rsidR="00316174">
              <w:t xml:space="preserve"> for adults</w:t>
            </w:r>
          </w:p>
        </w:tc>
        <w:tc>
          <w:tcPr>
            <w:tcW w:w="1984" w:type="dxa"/>
            <w:tcBorders>
              <w:top w:val="single" w:sz="4" w:space="0" w:color="auto"/>
              <w:left w:val="single" w:sz="4" w:space="0" w:color="auto"/>
              <w:bottom w:val="single" w:sz="4" w:space="0" w:color="auto"/>
              <w:right w:val="single" w:sz="4" w:space="0" w:color="auto"/>
            </w:tcBorders>
            <w:vAlign w:val="center"/>
          </w:tcPr>
          <w:p w14:paraId="471A6FE8" w14:textId="37AA55F4" w:rsidR="00AC0100" w:rsidRPr="00B40B92" w:rsidRDefault="007042A1" w:rsidP="009B1C87">
            <w:pPr>
              <w:pStyle w:val="Numbertablecolumnheading-centered"/>
            </w:pPr>
            <w:r>
              <w:t>D</w:t>
            </w:r>
            <w:r w:rsidR="00AC0100">
              <w:t>isability rate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C43F34B" w14:textId="114391A4" w:rsidR="00AC0100" w:rsidRPr="00E409C9" w:rsidRDefault="008338FF" w:rsidP="009B1C87">
            <w:pPr>
              <w:pStyle w:val="Numbertablecolumnheading-centered"/>
            </w:pPr>
            <w:r>
              <w:t>Number of disabled adults</w:t>
            </w:r>
            <w:r w:rsidR="00AC0100">
              <w:t xml:space="preserve"> </w:t>
            </w:r>
          </w:p>
        </w:tc>
      </w:tr>
      <w:tr w:rsidR="00316174" w14:paraId="22FF66DD" w14:textId="77777777" w:rsidTr="00D53460">
        <w:trPr>
          <w:trHeight w:val="142"/>
        </w:trPr>
        <w:tc>
          <w:tcPr>
            <w:tcW w:w="2547" w:type="dxa"/>
            <w:tcBorders>
              <w:top w:val="single" w:sz="4" w:space="0" w:color="auto"/>
              <w:left w:val="single" w:sz="4" w:space="0" w:color="auto"/>
              <w:bottom w:val="nil"/>
              <w:right w:val="nil"/>
            </w:tcBorders>
          </w:tcPr>
          <w:p w14:paraId="6F4BC00A" w14:textId="11BFC853" w:rsidR="000A19E0" w:rsidRDefault="000A19E0" w:rsidP="000A19E0">
            <w:pPr>
              <w:pStyle w:val="Numbertablecolumnheading-leftaligned"/>
            </w:pPr>
            <w:r w:rsidRPr="002D30FF">
              <w:t xml:space="preserve">Walking </w:t>
            </w:r>
          </w:p>
        </w:tc>
        <w:tc>
          <w:tcPr>
            <w:tcW w:w="2126" w:type="dxa"/>
            <w:gridSpan w:val="2"/>
            <w:tcBorders>
              <w:top w:val="single" w:sz="4" w:space="0" w:color="auto"/>
              <w:left w:val="nil"/>
              <w:bottom w:val="nil"/>
              <w:right w:val="nil"/>
            </w:tcBorders>
          </w:tcPr>
          <w:p w14:paraId="48133F16" w14:textId="08F2F567" w:rsidR="000A19E0" w:rsidRPr="00676A28" w:rsidRDefault="000A19E0" w:rsidP="000A19E0">
            <w:pPr>
              <w:pStyle w:val="Numbertablecolumnheading-centered"/>
            </w:pPr>
            <w:r w:rsidRPr="00BE209D">
              <w:t>7</w:t>
            </w:r>
          </w:p>
        </w:tc>
        <w:tc>
          <w:tcPr>
            <w:tcW w:w="2410" w:type="dxa"/>
            <w:tcBorders>
              <w:top w:val="single" w:sz="4" w:space="0" w:color="auto"/>
              <w:left w:val="nil"/>
              <w:bottom w:val="nil"/>
              <w:right w:val="single" w:sz="4" w:space="0" w:color="auto"/>
            </w:tcBorders>
          </w:tcPr>
          <w:p w14:paraId="256807C9" w14:textId="55445543" w:rsidR="000A19E0" w:rsidRPr="00676A28" w:rsidRDefault="000A19E0" w:rsidP="000A19E0">
            <w:pPr>
              <w:pStyle w:val="Numbertablecolumnheading-centered"/>
            </w:pPr>
            <w:r w:rsidRPr="00BE209D">
              <w:t>271,000</w:t>
            </w:r>
          </w:p>
        </w:tc>
      </w:tr>
      <w:tr w:rsidR="00316174" w14:paraId="0556E596" w14:textId="77777777" w:rsidTr="00316174">
        <w:trPr>
          <w:trHeight w:val="288"/>
        </w:trPr>
        <w:tc>
          <w:tcPr>
            <w:tcW w:w="2547" w:type="dxa"/>
            <w:tcBorders>
              <w:top w:val="nil"/>
              <w:left w:val="single" w:sz="4" w:space="0" w:color="auto"/>
              <w:bottom w:val="nil"/>
              <w:right w:val="nil"/>
            </w:tcBorders>
          </w:tcPr>
          <w:p w14:paraId="3B19F2A5" w14:textId="6CAEF16B" w:rsidR="000A19E0" w:rsidRPr="00E409C9" w:rsidRDefault="000A19E0" w:rsidP="000A19E0">
            <w:pPr>
              <w:pStyle w:val="Numbertablecolumnheading-leftaligned"/>
            </w:pPr>
            <w:r w:rsidRPr="002D30FF">
              <w:t xml:space="preserve">Flexibility/dexterity </w:t>
            </w:r>
          </w:p>
        </w:tc>
        <w:tc>
          <w:tcPr>
            <w:tcW w:w="2126" w:type="dxa"/>
            <w:gridSpan w:val="2"/>
            <w:tcBorders>
              <w:top w:val="nil"/>
              <w:left w:val="nil"/>
              <w:bottom w:val="nil"/>
              <w:right w:val="nil"/>
            </w:tcBorders>
          </w:tcPr>
          <w:p w14:paraId="6D7E6CEB" w14:textId="2C086054" w:rsidR="000A19E0" w:rsidRPr="008C60EC" w:rsidRDefault="000A19E0" w:rsidP="000A19E0">
            <w:pPr>
              <w:pStyle w:val="Numbertablecolumnheading-centered"/>
            </w:pPr>
            <w:r w:rsidRPr="00BE209D">
              <w:t>6</w:t>
            </w:r>
          </w:p>
        </w:tc>
        <w:tc>
          <w:tcPr>
            <w:tcW w:w="2410" w:type="dxa"/>
            <w:tcBorders>
              <w:top w:val="nil"/>
              <w:left w:val="nil"/>
              <w:bottom w:val="nil"/>
              <w:right w:val="single" w:sz="4" w:space="0" w:color="auto"/>
            </w:tcBorders>
          </w:tcPr>
          <w:p w14:paraId="2625706E" w14:textId="18D0A2BD" w:rsidR="000A19E0" w:rsidRPr="008C60EC" w:rsidRDefault="000A19E0" w:rsidP="000A19E0">
            <w:pPr>
              <w:pStyle w:val="Numbertablecolumnheading-centered"/>
            </w:pPr>
            <w:r w:rsidRPr="00BE209D">
              <w:t>239,000</w:t>
            </w:r>
          </w:p>
        </w:tc>
      </w:tr>
      <w:tr w:rsidR="00316174" w14:paraId="35AEA544" w14:textId="77777777" w:rsidTr="00316174">
        <w:trPr>
          <w:trHeight w:val="288"/>
        </w:trPr>
        <w:tc>
          <w:tcPr>
            <w:tcW w:w="2547" w:type="dxa"/>
            <w:tcBorders>
              <w:top w:val="nil"/>
              <w:left w:val="single" w:sz="4" w:space="0" w:color="auto"/>
              <w:bottom w:val="nil"/>
              <w:right w:val="nil"/>
            </w:tcBorders>
          </w:tcPr>
          <w:p w14:paraId="71B252C0" w14:textId="0BA55D6B" w:rsidR="000A19E0" w:rsidRPr="00BB1E87" w:rsidRDefault="000A19E0" w:rsidP="000A19E0">
            <w:pPr>
              <w:pStyle w:val="Numbertablecolumnheading-leftaligned"/>
            </w:pPr>
            <w:r w:rsidRPr="002D30FF">
              <w:t xml:space="preserve">Seeing </w:t>
            </w:r>
          </w:p>
        </w:tc>
        <w:tc>
          <w:tcPr>
            <w:tcW w:w="2126" w:type="dxa"/>
            <w:gridSpan w:val="2"/>
            <w:tcBorders>
              <w:top w:val="nil"/>
              <w:left w:val="nil"/>
              <w:bottom w:val="nil"/>
              <w:right w:val="nil"/>
            </w:tcBorders>
          </w:tcPr>
          <w:p w14:paraId="611D96D8" w14:textId="70C23655" w:rsidR="000A19E0" w:rsidRPr="008C60EC" w:rsidRDefault="000A19E0" w:rsidP="000A19E0">
            <w:pPr>
              <w:pStyle w:val="Numbertablecolumnheading-centered"/>
            </w:pPr>
            <w:r w:rsidRPr="00BE209D">
              <w:t>4</w:t>
            </w:r>
          </w:p>
        </w:tc>
        <w:tc>
          <w:tcPr>
            <w:tcW w:w="2410" w:type="dxa"/>
            <w:tcBorders>
              <w:top w:val="nil"/>
              <w:left w:val="nil"/>
              <w:bottom w:val="nil"/>
              <w:right w:val="single" w:sz="4" w:space="0" w:color="auto"/>
            </w:tcBorders>
          </w:tcPr>
          <w:p w14:paraId="4730C97D" w14:textId="796A8B07" w:rsidR="000A19E0" w:rsidRPr="008C60EC" w:rsidRDefault="000A19E0" w:rsidP="000A19E0">
            <w:pPr>
              <w:pStyle w:val="Numbertablecolumnheading-centered"/>
            </w:pPr>
            <w:r w:rsidRPr="00BE209D">
              <w:t>182,000</w:t>
            </w:r>
          </w:p>
        </w:tc>
      </w:tr>
      <w:tr w:rsidR="000A19E0" w14:paraId="6A4BA830" w14:textId="77777777" w:rsidTr="00316174">
        <w:trPr>
          <w:trHeight w:val="288"/>
        </w:trPr>
        <w:tc>
          <w:tcPr>
            <w:tcW w:w="2547" w:type="dxa"/>
            <w:tcBorders>
              <w:top w:val="nil"/>
              <w:left w:val="single" w:sz="4" w:space="0" w:color="auto"/>
              <w:bottom w:val="nil"/>
              <w:right w:val="nil"/>
            </w:tcBorders>
          </w:tcPr>
          <w:p w14:paraId="0806E7EA" w14:textId="55EE9922" w:rsidR="000A19E0" w:rsidRDefault="000A19E0" w:rsidP="000A19E0">
            <w:pPr>
              <w:pStyle w:val="Numbertablecolumnheading-leftaligned"/>
            </w:pPr>
            <w:r w:rsidRPr="002D30FF">
              <w:t xml:space="preserve">Pain </w:t>
            </w:r>
          </w:p>
        </w:tc>
        <w:tc>
          <w:tcPr>
            <w:tcW w:w="2126" w:type="dxa"/>
            <w:gridSpan w:val="2"/>
            <w:tcBorders>
              <w:top w:val="nil"/>
              <w:left w:val="nil"/>
              <w:bottom w:val="nil"/>
              <w:right w:val="nil"/>
            </w:tcBorders>
          </w:tcPr>
          <w:p w14:paraId="0BFBB70E" w14:textId="37888DC1" w:rsidR="000A19E0" w:rsidRPr="008C60EC" w:rsidRDefault="000A19E0" w:rsidP="000A19E0">
            <w:pPr>
              <w:pStyle w:val="Numbertablecolumnheading-centered"/>
            </w:pPr>
            <w:r w:rsidRPr="00BE209D">
              <w:t>3</w:t>
            </w:r>
          </w:p>
        </w:tc>
        <w:tc>
          <w:tcPr>
            <w:tcW w:w="2410" w:type="dxa"/>
            <w:tcBorders>
              <w:top w:val="nil"/>
              <w:left w:val="nil"/>
              <w:bottom w:val="nil"/>
              <w:right w:val="single" w:sz="4" w:space="0" w:color="auto"/>
            </w:tcBorders>
          </w:tcPr>
          <w:p w14:paraId="52AA4CA8" w14:textId="45F4F5F7" w:rsidR="000A19E0" w:rsidRPr="008C60EC" w:rsidRDefault="000A19E0" w:rsidP="000A19E0">
            <w:pPr>
              <w:pStyle w:val="Numbertablecolumnheading-centered"/>
            </w:pPr>
            <w:r w:rsidRPr="00BE209D">
              <w:t>136,000</w:t>
            </w:r>
          </w:p>
        </w:tc>
      </w:tr>
      <w:tr w:rsidR="000A19E0" w14:paraId="6097BAF4" w14:textId="77777777" w:rsidTr="00316174">
        <w:trPr>
          <w:trHeight w:val="288"/>
        </w:trPr>
        <w:tc>
          <w:tcPr>
            <w:tcW w:w="2547" w:type="dxa"/>
            <w:tcBorders>
              <w:top w:val="nil"/>
              <w:left w:val="single" w:sz="4" w:space="0" w:color="auto"/>
              <w:bottom w:val="nil"/>
              <w:right w:val="nil"/>
            </w:tcBorders>
          </w:tcPr>
          <w:p w14:paraId="73802D80" w14:textId="615D0E22" w:rsidR="000A19E0" w:rsidRPr="00884064" w:rsidRDefault="000A19E0" w:rsidP="000A19E0">
            <w:pPr>
              <w:pStyle w:val="Numbertablecolumnheading-leftaligned"/>
            </w:pPr>
            <w:r w:rsidRPr="002D30FF">
              <w:t xml:space="preserve">Mental health </w:t>
            </w:r>
          </w:p>
        </w:tc>
        <w:tc>
          <w:tcPr>
            <w:tcW w:w="2126" w:type="dxa"/>
            <w:gridSpan w:val="2"/>
            <w:tcBorders>
              <w:top w:val="nil"/>
              <w:left w:val="nil"/>
              <w:bottom w:val="nil"/>
              <w:right w:val="nil"/>
            </w:tcBorders>
          </w:tcPr>
          <w:p w14:paraId="175E6F34" w14:textId="73BC3EC9" w:rsidR="000A19E0" w:rsidRPr="00726273" w:rsidRDefault="000A19E0" w:rsidP="000A19E0">
            <w:pPr>
              <w:pStyle w:val="Numbertablecolumnheading-centered"/>
              <w:rPr>
                <w:rFonts w:asciiTheme="minorHAnsi" w:hAnsiTheme="minorHAnsi" w:cstheme="minorHAnsi"/>
              </w:rPr>
            </w:pPr>
            <w:r w:rsidRPr="00BE209D">
              <w:t>3</w:t>
            </w:r>
          </w:p>
        </w:tc>
        <w:tc>
          <w:tcPr>
            <w:tcW w:w="2410" w:type="dxa"/>
            <w:tcBorders>
              <w:top w:val="nil"/>
              <w:left w:val="nil"/>
              <w:bottom w:val="nil"/>
              <w:right w:val="single" w:sz="4" w:space="0" w:color="auto"/>
            </w:tcBorders>
          </w:tcPr>
          <w:p w14:paraId="1CDCE05B" w14:textId="7B22EB11" w:rsidR="000A19E0" w:rsidRPr="00726273" w:rsidRDefault="000A19E0" w:rsidP="000A19E0">
            <w:pPr>
              <w:pStyle w:val="Numbertablecolumnheading-centered"/>
              <w:rPr>
                <w:rFonts w:asciiTheme="minorHAnsi" w:hAnsiTheme="minorHAnsi" w:cstheme="minorHAnsi"/>
              </w:rPr>
            </w:pPr>
            <w:r w:rsidRPr="00BE209D">
              <w:t>135,000</w:t>
            </w:r>
          </w:p>
        </w:tc>
      </w:tr>
      <w:tr w:rsidR="000A19E0" w14:paraId="126FED8A" w14:textId="77777777" w:rsidTr="00316174">
        <w:trPr>
          <w:trHeight w:val="288"/>
        </w:trPr>
        <w:tc>
          <w:tcPr>
            <w:tcW w:w="2547" w:type="dxa"/>
            <w:tcBorders>
              <w:top w:val="nil"/>
              <w:left w:val="single" w:sz="4" w:space="0" w:color="auto"/>
              <w:bottom w:val="nil"/>
              <w:right w:val="nil"/>
            </w:tcBorders>
          </w:tcPr>
          <w:p w14:paraId="65D208C6" w14:textId="49F423FD" w:rsidR="000A19E0" w:rsidRPr="00B12ED9" w:rsidRDefault="000A19E0" w:rsidP="000A19E0">
            <w:pPr>
              <w:pStyle w:val="Numbertablecolumnheading-leftaligned"/>
            </w:pPr>
            <w:r w:rsidRPr="002D30FF">
              <w:t xml:space="preserve">Socialising </w:t>
            </w:r>
          </w:p>
        </w:tc>
        <w:tc>
          <w:tcPr>
            <w:tcW w:w="2126" w:type="dxa"/>
            <w:gridSpan w:val="2"/>
            <w:tcBorders>
              <w:top w:val="nil"/>
              <w:left w:val="nil"/>
              <w:bottom w:val="nil"/>
              <w:right w:val="nil"/>
            </w:tcBorders>
          </w:tcPr>
          <w:p w14:paraId="45A771E4" w14:textId="05A0F74C" w:rsidR="000A19E0" w:rsidRPr="00B12ED9" w:rsidRDefault="000A19E0" w:rsidP="000A19E0">
            <w:pPr>
              <w:pStyle w:val="Numbertablecolumnheading-centered"/>
            </w:pPr>
            <w:r w:rsidRPr="00BE209D">
              <w:t>3</w:t>
            </w:r>
          </w:p>
        </w:tc>
        <w:tc>
          <w:tcPr>
            <w:tcW w:w="2410" w:type="dxa"/>
            <w:tcBorders>
              <w:top w:val="nil"/>
              <w:left w:val="nil"/>
              <w:bottom w:val="nil"/>
              <w:right w:val="single" w:sz="4" w:space="0" w:color="auto"/>
            </w:tcBorders>
          </w:tcPr>
          <w:p w14:paraId="43C90920" w14:textId="0B3BC580" w:rsidR="000A19E0" w:rsidRPr="00B12ED9" w:rsidRDefault="000A19E0" w:rsidP="000A19E0">
            <w:pPr>
              <w:pStyle w:val="Numbertablecolumnheading-centered"/>
            </w:pPr>
            <w:r w:rsidRPr="00BE209D">
              <w:t>117,000</w:t>
            </w:r>
          </w:p>
        </w:tc>
      </w:tr>
      <w:tr w:rsidR="000A19E0" w14:paraId="7730D8B8" w14:textId="77777777" w:rsidTr="00316174">
        <w:trPr>
          <w:trHeight w:val="288"/>
        </w:trPr>
        <w:tc>
          <w:tcPr>
            <w:tcW w:w="2547" w:type="dxa"/>
            <w:tcBorders>
              <w:top w:val="nil"/>
              <w:left w:val="single" w:sz="4" w:space="0" w:color="auto"/>
              <w:bottom w:val="nil"/>
              <w:right w:val="nil"/>
            </w:tcBorders>
          </w:tcPr>
          <w:p w14:paraId="6AF88399" w14:textId="3615817E" w:rsidR="000A19E0" w:rsidRPr="00B12ED9" w:rsidRDefault="000A19E0" w:rsidP="000A19E0">
            <w:pPr>
              <w:pStyle w:val="Numbertablecolumnheading-leftaligned"/>
            </w:pPr>
            <w:r w:rsidRPr="002D30FF">
              <w:t xml:space="preserve">Remembering </w:t>
            </w:r>
          </w:p>
        </w:tc>
        <w:tc>
          <w:tcPr>
            <w:tcW w:w="2126" w:type="dxa"/>
            <w:gridSpan w:val="2"/>
            <w:tcBorders>
              <w:top w:val="nil"/>
              <w:left w:val="nil"/>
              <w:bottom w:val="nil"/>
              <w:right w:val="nil"/>
            </w:tcBorders>
          </w:tcPr>
          <w:p w14:paraId="5ADD74D3" w14:textId="0F147D65" w:rsidR="000A19E0" w:rsidRPr="00B12ED9" w:rsidRDefault="000A19E0" w:rsidP="000A19E0">
            <w:pPr>
              <w:pStyle w:val="Numbertablecolumnheading-centered"/>
            </w:pPr>
            <w:r w:rsidRPr="00BE209D">
              <w:t>2</w:t>
            </w:r>
          </w:p>
        </w:tc>
        <w:tc>
          <w:tcPr>
            <w:tcW w:w="2410" w:type="dxa"/>
            <w:tcBorders>
              <w:top w:val="nil"/>
              <w:left w:val="nil"/>
              <w:bottom w:val="nil"/>
              <w:right w:val="single" w:sz="4" w:space="0" w:color="auto"/>
            </w:tcBorders>
          </w:tcPr>
          <w:p w14:paraId="7CD7A062" w14:textId="201B4085" w:rsidR="000A19E0" w:rsidRPr="00B12ED9" w:rsidRDefault="000A19E0" w:rsidP="000A19E0">
            <w:pPr>
              <w:pStyle w:val="Numbertablecolumnheading-centered"/>
            </w:pPr>
            <w:r w:rsidRPr="00BE209D">
              <w:t>103,000</w:t>
            </w:r>
          </w:p>
        </w:tc>
      </w:tr>
      <w:tr w:rsidR="000A19E0" w14:paraId="4D2CFF15" w14:textId="77777777" w:rsidTr="00316174">
        <w:trPr>
          <w:trHeight w:val="288"/>
        </w:trPr>
        <w:tc>
          <w:tcPr>
            <w:tcW w:w="2547" w:type="dxa"/>
            <w:tcBorders>
              <w:top w:val="nil"/>
              <w:left w:val="single" w:sz="4" w:space="0" w:color="auto"/>
              <w:bottom w:val="nil"/>
              <w:right w:val="nil"/>
            </w:tcBorders>
          </w:tcPr>
          <w:p w14:paraId="27F6F445" w14:textId="72159DC8" w:rsidR="000A19E0" w:rsidRPr="00B12ED9" w:rsidRDefault="000A19E0" w:rsidP="000A19E0">
            <w:pPr>
              <w:pStyle w:val="Numbertablecolumnheading-leftaligned"/>
            </w:pPr>
            <w:r w:rsidRPr="002D30FF">
              <w:t xml:space="preserve">Concentrating </w:t>
            </w:r>
          </w:p>
        </w:tc>
        <w:tc>
          <w:tcPr>
            <w:tcW w:w="2126" w:type="dxa"/>
            <w:gridSpan w:val="2"/>
            <w:tcBorders>
              <w:top w:val="nil"/>
              <w:left w:val="nil"/>
              <w:bottom w:val="nil"/>
              <w:right w:val="nil"/>
            </w:tcBorders>
          </w:tcPr>
          <w:p w14:paraId="4805C46C" w14:textId="5086E3F7" w:rsidR="000A19E0" w:rsidRPr="00B12ED9" w:rsidRDefault="000A19E0" w:rsidP="000A19E0">
            <w:pPr>
              <w:pStyle w:val="Numbertablecolumnheading-centered"/>
            </w:pPr>
            <w:r w:rsidRPr="00BE209D">
              <w:t>2</w:t>
            </w:r>
          </w:p>
        </w:tc>
        <w:tc>
          <w:tcPr>
            <w:tcW w:w="2410" w:type="dxa"/>
            <w:tcBorders>
              <w:top w:val="nil"/>
              <w:left w:val="nil"/>
              <w:bottom w:val="nil"/>
              <w:right w:val="single" w:sz="4" w:space="0" w:color="auto"/>
            </w:tcBorders>
          </w:tcPr>
          <w:p w14:paraId="204D3668" w14:textId="61E456AA" w:rsidR="000A19E0" w:rsidRPr="00B12ED9" w:rsidRDefault="000A19E0" w:rsidP="000A19E0">
            <w:pPr>
              <w:pStyle w:val="Numbertablecolumnheading-centered"/>
            </w:pPr>
            <w:r w:rsidRPr="00BE209D">
              <w:t>99,000</w:t>
            </w:r>
          </w:p>
        </w:tc>
      </w:tr>
      <w:tr w:rsidR="000A19E0" w14:paraId="281430EC" w14:textId="77777777" w:rsidTr="00316174">
        <w:trPr>
          <w:trHeight w:val="288"/>
        </w:trPr>
        <w:tc>
          <w:tcPr>
            <w:tcW w:w="2547" w:type="dxa"/>
            <w:tcBorders>
              <w:top w:val="nil"/>
              <w:left w:val="single" w:sz="4" w:space="0" w:color="auto"/>
              <w:bottom w:val="nil"/>
              <w:right w:val="nil"/>
            </w:tcBorders>
          </w:tcPr>
          <w:p w14:paraId="5242B786" w14:textId="4252E7C9" w:rsidR="000A19E0" w:rsidRPr="00B12ED9" w:rsidRDefault="000A19E0" w:rsidP="000A19E0">
            <w:pPr>
              <w:pStyle w:val="Numbertablecolumnheading-leftaligned"/>
            </w:pPr>
            <w:r w:rsidRPr="002D30FF">
              <w:t xml:space="preserve">Fatigue </w:t>
            </w:r>
          </w:p>
        </w:tc>
        <w:tc>
          <w:tcPr>
            <w:tcW w:w="2126" w:type="dxa"/>
            <w:gridSpan w:val="2"/>
            <w:tcBorders>
              <w:top w:val="nil"/>
              <w:left w:val="nil"/>
              <w:bottom w:val="nil"/>
              <w:right w:val="nil"/>
            </w:tcBorders>
          </w:tcPr>
          <w:p w14:paraId="648762EC" w14:textId="0FDDB318" w:rsidR="000A19E0" w:rsidRPr="00B12ED9" w:rsidRDefault="000A19E0" w:rsidP="000A19E0">
            <w:pPr>
              <w:pStyle w:val="Numbertablecolumnheading-centered"/>
            </w:pPr>
            <w:r w:rsidRPr="00BE209D">
              <w:t>2</w:t>
            </w:r>
          </w:p>
        </w:tc>
        <w:tc>
          <w:tcPr>
            <w:tcW w:w="2410" w:type="dxa"/>
            <w:tcBorders>
              <w:top w:val="nil"/>
              <w:left w:val="nil"/>
              <w:bottom w:val="nil"/>
              <w:right w:val="single" w:sz="4" w:space="0" w:color="auto"/>
            </w:tcBorders>
          </w:tcPr>
          <w:p w14:paraId="38EAF05F" w14:textId="472C5272" w:rsidR="000A19E0" w:rsidRPr="00B12ED9" w:rsidRDefault="000A19E0" w:rsidP="000A19E0">
            <w:pPr>
              <w:pStyle w:val="Numbertablecolumnheading-centered"/>
            </w:pPr>
            <w:r w:rsidRPr="00BE209D">
              <w:t>90,000</w:t>
            </w:r>
          </w:p>
        </w:tc>
      </w:tr>
      <w:tr w:rsidR="000A19E0" w14:paraId="01BF58A5" w14:textId="77777777" w:rsidTr="00316174">
        <w:trPr>
          <w:trHeight w:val="288"/>
        </w:trPr>
        <w:tc>
          <w:tcPr>
            <w:tcW w:w="2547" w:type="dxa"/>
            <w:tcBorders>
              <w:top w:val="nil"/>
              <w:left w:val="single" w:sz="4" w:space="0" w:color="auto"/>
              <w:bottom w:val="nil"/>
              <w:right w:val="nil"/>
            </w:tcBorders>
          </w:tcPr>
          <w:p w14:paraId="29A5A15B" w14:textId="0192D3AE" w:rsidR="000A19E0" w:rsidRPr="00B12ED9" w:rsidRDefault="000A19E0" w:rsidP="000A19E0">
            <w:pPr>
              <w:pStyle w:val="Numbertablecolumnheading-leftaligned"/>
            </w:pPr>
            <w:r w:rsidRPr="002D30FF">
              <w:t xml:space="preserve">Communication </w:t>
            </w:r>
          </w:p>
        </w:tc>
        <w:tc>
          <w:tcPr>
            <w:tcW w:w="2126" w:type="dxa"/>
            <w:gridSpan w:val="2"/>
            <w:tcBorders>
              <w:top w:val="nil"/>
              <w:left w:val="nil"/>
              <w:bottom w:val="nil"/>
              <w:right w:val="nil"/>
            </w:tcBorders>
          </w:tcPr>
          <w:p w14:paraId="522BEECF" w14:textId="0A63B822" w:rsidR="000A19E0" w:rsidRPr="00B12ED9" w:rsidRDefault="000A19E0" w:rsidP="000A19E0">
            <w:pPr>
              <w:pStyle w:val="Numbertablecolumnheading-centered"/>
            </w:pPr>
            <w:r w:rsidRPr="00BE209D">
              <w:t>1</w:t>
            </w:r>
          </w:p>
        </w:tc>
        <w:tc>
          <w:tcPr>
            <w:tcW w:w="2410" w:type="dxa"/>
            <w:tcBorders>
              <w:top w:val="nil"/>
              <w:left w:val="nil"/>
              <w:bottom w:val="nil"/>
              <w:right w:val="single" w:sz="4" w:space="0" w:color="auto"/>
            </w:tcBorders>
          </w:tcPr>
          <w:p w14:paraId="7A75515D" w14:textId="2E9BA63A" w:rsidR="000A19E0" w:rsidRPr="00B12ED9" w:rsidRDefault="000A19E0" w:rsidP="000A19E0">
            <w:pPr>
              <w:pStyle w:val="Numbertablecolumnheading-centered"/>
            </w:pPr>
            <w:r w:rsidRPr="00BE209D">
              <w:t>57,000</w:t>
            </w:r>
          </w:p>
        </w:tc>
      </w:tr>
      <w:tr w:rsidR="000A19E0" w14:paraId="7C3EBA0D" w14:textId="77777777" w:rsidTr="00316174">
        <w:trPr>
          <w:trHeight w:val="288"/>
        </w:trPr>
        <w:tc>
          <w:tcPr>
            <w:tcW w:w="2547" w:type="dxa"/>
            <w:tcBorders>
              <w:top w:val="nil"/>
              <w:left w:val="single" w:sz="4" w:space="0" w:color="auto"/>
              <w:bottom w:val="nil"/>
              <w:right w:val="nil"/>
            </w:tcBorders>
          </w:tcPr>
          <w:p w14:paraId="68670158" w14:textId="78CF5C86" w:rsidR="000A19E0" w:rsidRPr="00B12ED9" w:rsidRDefault="000A19E0" w:rsidP="000A19E0">
            <w:pPr>
              <w:pStyle w:val="Numbertablecolumnheading-leftaligned"/>
            </w:pPr>
            <w:r w:rsidRPr="002D30FF">
              <w:t xml:space="preserve">Learning </w:t>
            </w:r>
          </w:p>
        </w:tc>
        <w:tc>
          <w:tcPr>
            <w:tcW w:w="2126" w:type="dxa"/>
            <w:gridSpan w:val="2"/>
            <w:tcBorders>
              <w:top w:val="nil"/>
              <w:left w:val="nil"/>
              <w:bottom w:val="nil"/>
              <w:right w:val="nil"/>
            </w:tcBorders>
          </w:tcPr>
          <w:p w14:paraId="52AB8275" w14:textId="2444C98D" w:rsidR="000A19E0" w:rsidRPr="00B12ED9" w:rsidRDefault="000A19E0" w:rsidP="000A19E0">
            <w:pPr>
              <w:pStyle w:val="Numbertablecolumnheading-centered"/>
            </w:pPr>
            <w:r w:rsidRPr="00BE209D">
              <w:t>1</w:t>
            </w:r>
          </w:p>
        </w:tc>
        <w:tc>
          <w:tcPr>
            <w:tcW w:w="2410" w:type="dxa"/>
            <w:tcBorders>
              <w:top w:val="nil"/>
              <w:left w:val="nil"/>
              <w:bottom w:val="nil"/>
              <w:right w:val="single" w:sz="4" w:space="0" w:color="auto"/>
            </w:tcBorders>
          </w:tcPr>
          <w:p w14:paraId="18B89527" w14:textId="7DF4EED3" w:rsidR="000A19E0" w:rsidRPr="00B12ED9" w:rsidRDefault="000A19E0" w:rsidP="000A19E0">
            <w:pPr>
              <w:pStyle w:val="Numbertablecolumnheading-centered"/>
            </w:pPr>
            <w:r w:rsidRPr="00BE209D">
              <w:t>55,000</w:t>
            </w:r>
          </w:p>
        </w:tc>
      </w:tr>
      <w:tr w:rsidR="000A19E0" w14:paraId="36D2A559" w14:textId="77777777" w:rsidTr="00316174">
        <w:trPr>
          <w:trHeight w:val="288"/>
        </w:trPr>
        <w:tc>
          <w:tcPr>
            <w:tcW w:w="2547" w:type="dxa"/>
            <w:tcBorders>
              <w:top w:val="nil"/>
              <w:left w:val="single" w:sz="4" w:space="0" w:color="auto"/>
              <w:bottom w:val="nil"/>
              <w:right w:val="nil"/>
            </w:tcBorders>
          </w:tcPr>
          <w:p w14:paraId="0D749078" w14:textId="461D883A" w:rsidR="000A19E0" w:rsidRPr="00B12ED9" w:rsidRDefault="000A19E0" w:rsidP="000A19E0">
            <w:pPr>
              <w:pStyle w:val="Numbertablecolumnheading-leftaligned"/>
            </w:pPr>
            <w:r w:rsidRPr="002D30FF">
              <w:t xml:space="preserve">Hearing </w:t>
            </w:r>
          </w:p>
        </w:tc>
        <w:tc>
          <w:tcPr>
            <w:tcW w:w="2126" w:type="dxa"/>
            <w:gridSpan w:val="2"/>
            <w:tcBorders>
              <w:top w:val="nil"/>
              <w:left w:val="nil"/>
              <w:bottom w:val="nil"/>
              <w:right w:val="nil"/>
            </w:tcBorders>
          </w:tcPr>
          <w:p w14:paraId="4BD6F5EE" w14:textId="387B153B" w:rsidR="000A19E0" w:rsidRPr="00B12ED9" w:rsidRDefault="000A19E0" w:rsidP="000A19E0">
            <w:pPr>
              <w:pStyle w:val="Numbertablecolumnheading-centered"/>
            </w:pPr>
            <w:r w:rsidRPr="00BE209D">
              <w:t>1</w:t>
            </w:r>
          </w:p>
        </w:tc>
        <w:tc>
          <w:tcPr>
            <w:tcW w:w="2410" w:type="dxa"/>
            <w:tcBorders>
              <w:top w:val="nil"/>
              <w:left w:val="nil"/>
              <w:bottom w:val="nil"/>
              <w:right w:val="single" w:sz="4" w:space="0" w:color="auto"/>
            </w:tcBorders>
          </w:tcPr>
          <w:p w14:paraId="10A576FE" w14:textId="64EA4695" w:rsidR="000A19E0" w:rsidRPr="00B12ED9" w:rsidRDefault="000A19E0" w:rsidP="000A19E0">
            <w:pPr>
              <w:pStyle w:val="Numbertablecolumnheading-centered"/>
            </w:pPr>
            <w:r w:rsidRPr="00BE209D">
              <w:t>51,000</w:t>
            </w:r>
          </w:p>
        </w:tc>
      </w:tr>
      <w:tr w:rsidR="000A19E0" w14:paraId="7786FE28" w14:textId="77777777" w:rsidTr="00316174">
        <w:trPr>
          <w:trHeight w:val="288"/>
        </w:trPr>
        <w:tc>
          <w:tcPr>
            <w:tcW w:w="2547" w:type="dxa"/>
            <w:tcBorders>
              <w:top w:val="nil"/>
              <w:left w:val="single" w:sz="4" w:space="0" w:color="auto"/>
              <w:bottom w:val="nil"/>
              <w:right w:val="nil"/>
            </w:tcBorders>
          </w:tcPr>
          <w:p w14:paraId="4A1E0E37" w14:textId="75FFEEB6" w:rsidR="000A19E0" w:rsidRPr="00B12ED9" w:rsidRDefault="000A19E0" w:rsidP="000A19E0">
            <w:pPr>
              <w:pStyle w:val="Numbertablecolumnheading-leftaligned"/>
            </w:pPr>
            <w:r w:rsidRPr="002D30FF">
              <w:t>Personal care</w:t>
            </w:r>
          </w:p>
        </w:tc>
        <w:tc>
          <w:tcPr>
            <w:tcW w:w="2126" w:type="dxa"/>
            <w:gridSpan w:val="2"/>
            <w:tcBorders>
              <w:top w:val="nil"/>
              <w:left w:val="nil"/>
              <w:bottom w:val="nil"/>
              <w:right w:val="nil"/>
            </w:tcBorders>
          </w:tcPr>
          <w:p w14:paraId="7E14275F" w14:textId="0AA2AD48" w:rsidR="000A19E0" w:rsidRPr="00B12ED9" w:rsidRDefault="000A19E0" w:rsidP="000A19E0">
            <w:pPr>
              <w:pStyle w:val="Numbertablecolumnheading-centered"/>
            </w:pPr>
            <w:r w:rsidRPr="00BE209D">
              <w:t>1</w:t>
            </w:r>
          </w:p>
        </w:tc>
        <w:tc>
          <w:tcPr>
            <w:tcW w:w="2410" w:type="dxa"/>
            <w:tcBorders>
              <w:top w:val="nil"/>
              <w:left w:val="nil"/>
              <w:bottom w:val="nil"/>
              <w:right w:val="single" w:sz="4" w:space="0" w:color="auto"/>
            </w:tcBorders>
          </w:tcPr>
          <w:p w14:paraId="66376E15" w14:textId="1DDE4CE5" w:rsidR="000A19E0" w:rsidRPr="00B12ED9" w:rsidRDefault="000A19E0" w:rsidP="000A19E0">
            <w:pPr>
              <w:pStyle w:val="Numbertablecolumnheading-centered"/>
            </w:pPr>
            <w:r w:rsidRPr="00BE209D">
              <w:t>45,000</w:t>
            </w:r>
          </w:p>
        </w:tc>
      </w:tr>
      <w:tr w:rsidR="000A19E0" w14:paraId="0AB46841" w14:textId="77777777" w:rsidTr="00316174">
        <w:trPr>
          <w:trHeight w:val="288"/>
        </w:trPr>
        <w:tc>
          <w:tcPr>
            <w:tcW w:w="2547" w:type="dxa"/>
            <w:tcBorders>
              <w:top w:val="nil"/>
              <w:left w:val="single" w:sz="4" w:space="0" w:color="auto"/>
              <w:bottom w:val="nil"/>
              <w:right w:val="nil"/>
            </w:tcBorders>
          </w:tcPr>
          <w:p w14:paraId="10D13F44" w14:textId="7675AD8E" w:rsidR="000A19E0" w:rsidRPr="00B12ED9" w:rsidRDefault="000A19E0" w:rsidP="000A19E0">
            <w:pPr>
              <w:pStyle w:val="Numbertablecolumnheading-leftaligned"/>
            </w:pPr>
            <w:r w:rsidRPr="002D30FF">
              <w:t xml:space="preserve">Intellectual </w:t>
            </w:r>
          </w:p>
        </w:tc>
        <w:tc>
          <w:tcPr>
            <w:tcW w:w="2126" w:type="dxa"/>
            <w:gridSpan w:val="2"/>
            <w:tcBorders>
              <w:top w:val="nil"/>
              <w:left w:val="nil"/>
              <w:bottom w:val="nil"/>
              <w:right w:val="nil"/>
            </w:tcBorders>
          </w:tcPr>
          <w:p w14:paraId="4674DB8F" w14:textId="7438A755" w:rsidR="000A19E0" w:rsidRPr="00B12ED9" w:rsidRDefault="000A19E0" w:rsidP="000A19E0">
            <w:pPr>
              <w:pStyle w:val="Numbertablecolumnheading-centered"/>
            </w:pPr>
            <w:r w:rsidRPr="00BE209D">
              <w:t>1</w:t>
            </w:r>
          </w:p>
        </w:tc>
        <w:tc>
          <w:tcPr>
            <w:tcW w:w="2410" w:type="dxa"/>
            <w:tcBorders>
              <w:top w:val="nil"/>
              <w:left w:val="nil"/>
              <w:bottom w:val="nil"/>
              <w:right w:val="single" w:sz="4" w:space="0" w:color="auto"/>
            </w:tcBorders>
          </w:tcPr>
          <w:p w14:paraId="0C17DE36" w14:textId="3C786649" w:rsidR="000A19E0" w:rsidRPr="00B12ED9" w:rsidRDefault="000A19E0" w:rsidP="000A19E0">
            <w:pPr>
              <w:pStyle w:val="Numbertablecolumnheading-centered"/>
            </w:pPr>
            <w:r w:rsidRPr="00BE209D">
              <w:t>28,000</w:t>
            </w:r>
          </w:p>
        </w:tc>
      </w:tr>
      <w:tr w:rsidR="00316174" w14:paraId="7B531663" w14:textId="77777777" w:rsidTr="00316174">
        <w:trPr>
          <w:trHeight w:val="288"/>
        </w:trPr>
        <w:tc>
          <w:tcPr>
            <w:tcW w:w="2547" w:type="dxa"/>
            <w:tcBorders>
              <w:top w:val="nil"/>
              <w:left w:val="single" w:sz="4" w:space="0" w:color="auto"/>
              <w:bottom w:val="single" w:sz="4" w:space="0" w:color="auto"/>
              <w:right w:val="nil"/>
            </w:tcBorders>
          </w:tcPr>
          <w:p w14:paraId="37EC0FD0" w14:textId="6D66FBC5" w:rsidR="000A19E0" w:rsidRPr="00BB1E87" w:rsidRDefault="000A19E0" w:rsidP="000A19E0">
            <w:pPr>
              <w:pStyle w:val="Numbertablecolumnheading-leftaligned"/>
            </w:pPr>
            <w:r>
              <w:t>Total</w:t>
            </w:r>
          </w:p>
        </w:tc>
        <w:tc>
          <w:tcPr>
            <w:tcW w:w="2126" w:type="dxa"/>
            <w:gridSpan w:val="2"/>
            <w:tcBorders>
              <w:top w:val="nil"/>
              <w:left w:val="nil"/>
              <w:bottom w:val="single" w:sz="4" w:space="0" w:color="auto"/>
              <w:right w:val="nil"/>
            </w:tcBorders>
          </w:tcPr>
          <w:p w14:paraId="76276AFD" w14:textId="6F49B8DB" w:rsidR="000A19E0" w:rsidRPr="008C60EC" w:rsidRDefault="000A19E0" w:rsidP="000A19E0">
            <w:pPr>
              <w:pStyle w:val="Numbertablecolumnheading-centered"/>
            </w:pPr>
            <w:r w:rsidRPr="00BE209D">
              <w:t>18</w:t>
            </w:r>
          </w:p>
        </w:tc>
        <w:tc>
          <w:tcPr>
            <w:tcW w:w="2410" w:type="dxa"/>
            <w:tcBorders>
              <w:top w:val="nil"/>
              <w:left w:val="nil"/>
              <w:bottom w:val="single" w:sz="4" w:space="0" w:color="auto"/>
              <w:right w:val="single" w:sz="4" w:space="0" w:color="auto"/>
            </w:tcBorders>
          </w:tcPr>
          <w:p w14:paraId="6140503D" w14:textId="59DF9A01" w:rsidR="000A19E0" w:rsidRPr="008C60EC" w:rsidRDefault="000A19E0" w:rsidP="000A19E0">
            <w:pPr>
              <w:pStyle w:val="Numbertablecolumnheading-centered"/>
            </w:pPr>
            <w:r w:rsidRPr="00BE209D">
              <w:t>753,000</w:t>
            </w:r>
          </w:p>
        </w:tc>
      </w:tr>
      <w:tr w:rsidR="00AC0100" w14:paraId="1D25580E" w14:textId="77777777" w:rsidTr="00316174">
        <w:trPr>
          <w:trHeight w:val="288"/>
        </w:trPr>
        <w:tc>
          <w:tcPr>
            <w:tcW w:w="7083" w:type="dxa"/>
            <w:gridSpan w:val="4"/>
            <w:tcBorders>
              <w:top w:val="single" w:sz="4" w:space="0" w:color="auto"/>
              <w:left w:val="single" w:sz="4" w:space="0" w:color="auto"/>
              <w:right w:val="single" w:sz="4" w:space="0" w:color="auto"/>
            </w:tcBorders>
            <w:vAlign w:val="center"/>
          </w:tcPr>
          <w:p w14:paraId="3D8ED930" w14:textId="064BA57D" w:rsidR="00AC0100" w:rsidRPr="00D37CD2" w:rsidRDefault="00E73F15" w:rsidP="009B1C87">
            <w:pPr>
              <w:pStyle w:val="Numbertablecolumnheading-centered"/>
              <w:jc w:val="left"/>
            </w:pPr>
            <w:r>
              <w:t>Adults</w:t>
            </w:r>
            <w:r w:rsidR="00AC0100" w:rsidRPr="00010257">
              <w:t xml:space="preserve"> </w:t>
            </w:r>
            <w:r w:rsidR="00EB6F16">
              <w:t>with functional difficulties in more than one domain were counted in each</w:t>
            </w:r>
            <w:r w:rsidR="00AC0100" w:rsidRPr="00010257">
              <w:t>.</w:t>
            </w:r>
          </w:p>
          <w:p w14:paraId="2C2EDEC8" w14:textId="77777777" w:rsidR="00AC0100" w:rsidRDefault="00AC0100" w:rsidP="009B1C87">
            <w:pPr>
              <w:pStyle w:val="Numbertablecolumnheading-centered"/>
              <w:jc w:val="left"/>
            </w:pPr>
            <w:r w:rsidRPr="4A07F070">
              <w:rPr>
                <w:b/>
              </w:rPr>
              <w:t>Source</w:t>
            </w:r>
            <w:r>
              <w:t>: Stats NZ</w:t>
            </w:r>
          </w:p>
        </w:tc>
      </w:tr>
    </w:tbl>
    <w:p w14:paraId="0C564606" w14:textId="620D051C" w:rsidR="00356450" w:rsidRDefault="00A7472F" w:rsidP="00A7472F">
      <w:pPr>
        <w:spacing w:before="240"/>
        <w:rPr>
          <w:lang w:eastAsia="en-NZ"/>
        </w:rPr>
      </w:pPr>
      <w:r>
        <w:rPr>
          <w:lang w:eastAsia="en-NZ"/>
        </w:rPr>
        <w:t xml:space="preserve">Some of the functional domains in table </w:t>
      </w:r>
      <w:r w:rsidR="005B4B5B">
        <w:rPr>
          <w:lang w:eastAsia="en-NZ"/>
        </w:rPr>
        <w:t xml:space="preserve">7 </w:t>
      </w:r>
      <w:r>
        <w:rPr>
          <w:lang w:eastAsia="en-NZ"/>
        </w:rPr>
        <w:t>are small.</w:t>
      </w:r>
      <w:r w:rsidR="00A02E1C">
        <w:rPr>
          <w:lang w:eastAsia="en-NZ"/>
        </w:rPr>
        <w:t xml:space="preserve"> </w:t>
      </w:r>
      <w:r>
        <w:rPr>
          <w:lang w:eastAsia="en-NZ"/>
        </w:rPr>
        <w:t>To disaggregate</w:t>
      </w:r>
      <w:r w:rsidR="005B4B5B">
        <w:rPr>
          <w:lang w:eastAsia="en-NZ"/>
        </w:rPr>
        <w:t xml:space="preserve"> </w:t>
      </w:r>
      <w:r>
        <w:rPr>
          <w:lang w:eastAsia="en-NZ"/>
        </w:rPr>
        <w:t xml:space="preserve">the data by demographic characteristics, </w:t>
      </w:r>
      <w:r w:rsidR="005B4B5B">
        <w:rPr>
          <w:lang w:eastAsia="en-NZ"/>
        </w:rPr>
        <w:t xml:space="preserve">some </w:t>
      </w:r>
      <w:r>
        <w:rPr>
          <w:lang w:eastAsia="en-NZ"/>
        </w:rPr>
        <w:t xml:space="preserve">domains were combined </w:t>
      </w:r>
      <w:r w:rsidR="005B4B5B">
        <w:rPr>
          <w:lang w:eastAsia="en-NZ"/>
        </w:rPr>
        <w:t>(</w:t>
      </w:r>
      <w:r>
        <w:rPr>
          <w:lang w:eastAsia="en-NZ"/>
        </w:rPr>
        <w:t>as shown</w:t>
      </w:r>
      <w:r w:rsidR="005B4B5B">
        <w:rPr>
          <w:lang w:eastAsia="en-NZ"/>
        </w:rPr>
        <w:t xml:space="preserve"> in table 8). </w:t>
      </w:r>
    </w:p>
    <w:p w14:paraId="30A53CDF" w14:textId="5860958E" w:rsidR="00A7472F" w:rsidRDefault="005B4B5B" w:rsidP="00A7472F">
      <w:pPr>
        <w:spacing w:before="240"/>
        <w:rPr>
          <w:lang w:eastAsia="en-NZ"/>
        </w:rPr>
      </w:pPr>
      <w:r>
        <w:rPr>
          <w:lang w:eastAsia="en-NZ"/>
        </w:rPr>
        <w:t xml:space="preserve">For </w:t>
      </w:r>
      <w:r w:rsidR="00A7472F">
        <w:rPr>
          <w:lang w:eastAsia="en-NZ"/>
        </w:rPr>
        <w:t>the rest of this section on adult</w:t>
      </w:r>
      <w:r w:rsidR="00054498">
        <w:rPr>
          <w:lang w:eastAsia="en-NZ"/>
        </w:rPr>
        <w:t xml:space="preserve"> domain rates,</w:t>
      </w:r>
      <w:r w:rsidR="00A7472F">
        <w:rPr>
          <w:lang w:eastAsia="en-NZ"/>
        </w:rPr>
        <w:t xml:space="preserve"> the grouped functional domains are used.</w:t>
      </w:r>
    </w:p>
    <w:p w14:paraId="5E84C3B5" w14:textId="5A02F13C" w:rsidR="00D5573D" w:rsidRPr="00E6628C" w:rsidRDefault="00D5573D" w:rsidP="00D5573D">
      <w:pPr>
        <w:pStyle w:val="Figureandtablenumbers"/>
        <w:spacing w:before="0"/>
      </w:pPr>
      <w:r>
        <w:t xml:space="preserve">Table </w:t>
      </w:r>
      <w:r w:rsidR="008E4A93">
        <w:t>8</w:t>
      </w:r>
    </w:p>
    <w:p w14:paraId="2654EF51" w14:textId="5B9E8052" w:rsidR="00D5573D" w:rsidRPr="000275D8" w:rsidRDefault="008E4A93" w:rsidP="00D5573D">
      <w:pPr>
        <w:pStyle w:val="Tabletitle-forhiding"/>
      </w:pPr>
      <w:bookmarkStart w:id="113" w:name="_Toc190426277"/>
      <w:r>
        <w:t>8</w:t>
      </w:r>
      <w:r w:rsidR="00D5573D">
        <w:t xml:space="preserve"> Group</w:t>
      </w:r>
      <w:r w:rsidR="00124BB1">
        <w:t>ed</w:t>
      </w:r>
      <w:r w:rsidR="00D5573D">
        <w:t xml:space="preserve"> functional domain disability rates for adults</w:t>
      </w:r>
      <w:bookmarkEnd w:id="113"/>
      <w:r w:rsidR="00D5573D">
        <w:t xml:space="preserve"> </w:t>
      </w:r>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1985"/>
        <w:gridCol w:w="2925"/>
      </w:tblGrid>
      <w:tr w:rsidR="00D5573D" w14:paraId="429A2364" w14:textId="77777777" w:rsidTr="00F50B77">
        <w:trPr>
          <w:trHeight w:val="420"/>
        </w:trPr>
        <w:tc>
          <w:tcPr>
            <w:tcW w:w="5000" w:type="pct"/>
            <w:gridSpan w:val="3"/>
            <w:tcBorders>
              <w:left w:val="single" w:sz="4" w:space="0" w:color="auto"/>
              <w:right w:val="single" w:sz="4" w:space="0" w:color="auto"/>
            </w:tcBorders>
            <w:vAlign w:val="center"/>
          </w:tcPr>
          <w:p w14:paraId="236DB3DE" w14:textId="674FF3EA" w:rsidR="00D5573D" w:rsidRDefault="00124BB1" w:rsidP="009B1C87">
            <w:pPr>
              <w:pStyle w:val="Tabletitle1"/>
            </w:pPr>
            <w:r>
              <w:t>Grouped f</w:t>
            </w:r>
            <w:r w:rsidR="00D5573D">
              <w:t xml:space="preserve">unctional domain disability rates for adults </w:t>
            </w:r>
          </w:p>
        </w:tc>
      </w:tr>
      <w:tr w:rsidR="00F50B77" w14:paraId="71CAA66A" w14:textId="77777777" w:rsidTr="00F50B77">
        <w:trPr>
          <w:trHeight w:val="420"/>
        </w:trPr>
        <w:tc>
          <w:tcPr>
            <w:tcW w:w="2277" w:type="pct"/>
            <w:tcBorders>
              <w:left w:val="single" w:sz="4" w:space="0" w:color="auto"/>
              <w:bottom w:val="single" w:sz="4" w:space="0" w:color="auto"/>
            </w:tcBorders>
            <w:vAlign w:val="center"/>
          </w:tcPr>
          <w:p w14:paraId="2E4C81B4" w14:textId="18AA0397" w:rsidR="00D5573D" w:rsidRPr="004A691B" w:rsidRDefault="00D5573D" w:rsidP="009B1C87">
            <w:pPr>
              <w:pStyle w:val="Numbertablecolumnheading-leftaligned"/>
            </w:pPr>
            <w:r>
              <w:t>Grouped functional domains</w:t>
            </w:r>
            <w:r w:rsidR="00316174">
              <w:t xml:space="preserve"> for adults</w:t>
            </w:r>
          </w:p>
        </w:tc>
        <w:tc>
          <w:tcPr>
            <w:tcW w:w="1101" w:type="pct"/>
            <w:tcBorders>
              <w:bottom w:val="single" w:sz="4" w:space="0" w:color="auto"/>
            </w:tcBorders>
            <w:vAlign w:val="center"/>
          </w:tcPr>
          <w:p w14:paraId="4818B014" w14:textId="77777777" w:rsidR="00D5573D" w:rsidRPr="00B40B92" w:rsidRDefault="00D5573D" w:rsidP="009B1C87">
            <w:pPr>
              <w:pStyle w:val="Numbertablecolumnheading-centered"/>
            </w:pPr>
            <w:r>
              <w:t>Disability rate (%)</w:t>
            </w:r>
          </w:p>
        </w:tc>
        <w:tc>
          <w:tcPr>
            <w:tcW w:w="1622" w:type="pct"/>
            <w:tcBorders>
              <w:bottom w:val="single" w:sz="4" w:space="0" w:color="auto"/>
              <w:right w:val="single" w:sz="4" w:space="0" w:color="auto"/>
            </w:tcBorders>
            <w:vAlign w:val="center"/>
          </w:tcPr>
          <w:p w14:paraId="7627D95C" w14:textId="77777777" w:rsidR="00D5573D" w:rsidRPr="00E409C9" w:rsidRDefault="00D5573D" w:rsidP="009B1C87">
            <w:pPr>
              <w:pStyle w:val="Numbertablecolumnheading-centered"/>
            </w:pPr>
            <w:r>
              <w:t xml:space="preserve">Number of disabled adults </w:t>
            </w:r>
          </w:p>
        </w:tc>
      </w:tr>
      <w:tr w:rsidR="002A52C3" w14:paraId="537C67CA" w14:textId="77777777" w:rsidTr="00F50B77">
        <w:trPr>
          <w:trHeight w:val="142"/>
        </w:trPr>
        <w:tc>
          <w:tcPr>
            <w:tcW w:w="2277" w:type="pct"/>
            <w:tcBorders>
              <w:top w:val="single" w:sz="4" w:space="0" w:color="auto"/>
              <w:left w:val="single" w:sz="4" w:space="0" w:color="auto"/>
              <w:bottom w:val="nil"/>
              <w:right w:val="nil"/>
            </w:tcBorders>
          </w:tcPr>
          <w:p w14:paraId="065F246D" w14:textId="48FB056A" w:rsidR="002A52C3" w:rsidRDefault="002A52C3" w:rsidP="002A52C3">
            <w:pPr>
              <w:pStyle w:val="Numbertablecolumnheading-leftaligned"/>
            </w:pPr>
            <w:r w:rsidRPr="007903C4">
              <w:t xml:space="preserve">Physical (walking </w:t>
            </w:r>
            <w:r w:rsidR="00C1515A">
              <w:t>and</w:t>
            </w:r>
            <w:r w:rsidRPr="007903C4">
              <w:t xml:space="preserve"> flexibility/ dexterity)</w:t>
            </w:r>
          </w:p>
        </w:tc>
        <w:tc>
          <w:tcPr>
            <w:tcW w:w="1101" w:type="pct"/>
            <w:tcBorders>
              <w:top w:val="single" w:sz="4" w:space="0" w:color="auto"/>
              <w:left w:val="nil"/>
              <w:bottom w:val="nil"/>
              <w:right w:val="nil"/>
            </w:tcBorders>
          </w:tcPr>
          <w:p w14:paraId="0B051D14" w14:textId="0BB92F4E" w:rsidR="002A52C3" w:rsidRPr="00676A28" w:rsidRDefault="002A52C3" w:rsidP="002A52C3">
            <w:pPr>
              <w:pStyle w:val="Numbertablecolumnheading-centered"/>
            </w:pPr>
            <w:r w:rsidRPr="00333896">
              <w:t>9</w:t>
            </w:r>
          </w:p>
        </w:tc>
        <w:tc>
          <w:tcPr>
            <w:tcW w:w="1622" w:type="pct"/>
            <w:tcBorders>
              <w:top w:val="single" w:sz="4" w:space="0" w:color="auto"/>
              <w:left w:val="nil"/>
              <w:bottom w:val="nil"/>
              <w:right w:val="single" w:sz="4" w:space="0" w:color="auto"/>
            </w:tcBorders>
          </w:tcPr>
          <w:p w14:paraId="5E393393" w14:textId="12D72D15" w:rsidR="002A52C3" w:rsidRPr="00676A28" w:rsidRDefault="002A52C3" w:rsidP="002A52C3">
            <w:pPr>
              <w:pStyle w:val="Numbertablecolumnheading-centered"/>
            </w:pPr>
            <w:r w:rsidRPr="00924D36">
              <w:t>370,000</w:t>
            </w:r>
          </w:p>
        </w:tc>
      </w:tr>
      <w:tr w:rsidR="002A52C3" w14:paraId="25D14F1A" w14:textId="77777777" w:rsidTr="00F50B77">
        <w:trPr>
          <w:trHeight w:val="288"/>
        </w:trPr>
        <w:tc>
          <w:tcPr>
            <w:tcW w:w="2277" w:type="pct"/>
            <w:tcBorders>
              <w:top w:val="nil"/>
              <w:left w:val="single" w:sz="4" w:space="0" w:color="auto"/>
              <w:bottom w:val="nil"/>
              <w:right w:val="nil"/>
            </w:tcBorders>
          </w:tcPr>
          <w:p w14:paraId="66A6A4F8" w14:textId="610BA09A" w:rsidR="002A52C3" w:rsidRPr="00E409C9" w:rsidRDefault="002A52C3" w:rsidP="002A52C3">
            <w:pPr>
              <w:pStyle w:val="Numbertablecolumnheading-leftaligned"/>
            </w:pPr>
            <w:r w:rsidRPr="007903C4">
              <w:t xml:space="preserve">Sensory (seeing </w:t>
            </w:r>
            <w:r w:rsidR="00C1515A">
              <w:t>and</w:t>
            </w:r>
            <w:r w:rsidRPr="007903C4">
              <w:t xml:space="preserve"> hearing)</w:t>
            </w:r>
          </w:p>
        </w:tc>
        <w:tc>
          <w:tcPr>
            <w:tcW w:w="1101" w:type="pct"/>
            <w:tcBorders>
              <w:top w:val="nil"/>
              <w:left w:val="nil"/>
              <w:bottom w:val="nil"/>
              <w:right w:val="nil"/>
            </w:tcBorders>
          </w:tcPr>
          <w:p w14:paraId="2213B036" w14:textId="0E2942DE" w:rsidR="002A52C3" w:rsidRPr="008C60EC" w:rsidRDefault="002A52C3" w:rsidP="002A52C3">
            <w:pPr>
              <w:pStyle w:val="Numbertablecolumnheading-centered"/>
            </w:pPr>
            <w:r w:rsidRPr="00333896">
              <w:t>5</w:t>
            </w:r>
          </w:p>
        </w:tc>
        <w:tc>
          <w:tcPr>
            <w:tcW w:w="1622" w:type="pct"/>
            <w:tcBorders>
              <w:top w:val="nil"/>
              <w:left w:val="nil"/>
              <w:bottom w:val="nil"/>
              <w:right w:val="single" w:sz="4" w:space="0" w:color="auto"/>
            </w:tcBorders>
          </w:tcPr>
          <w:p w14:paraId="685BD398" w14:textId="062B10DA" w:rsidR="002A52C3" w:rsidRPr="008C60EC" w:rsidRDefault="002A52C3" w:rsidP="002A52C3">
            <w:pPr>
              <w:pStyle w:val="Numbertablecolumnheading-centered"/>
            </w:pPr>
            <w:r w:rsidRPr="00924D36">
              <w:t>223,000</w:t>
            </w:r>
          </w:p>
        </w:tc>
      </w:tr>
      <w:tr w:rsidR="002A52C3" w14:paraId="149D40A2" w14:textId="77777777" w:rsidTr="00F50B77">
        <w:trPr>
          <w:trHeight w:val="288"/>
        </w:trPr>
        <w:tc>
          <w:tcPr>
            <w:tcW w:w="2277" w:type="pct"/>
            <w:tcBorders>
              <w:top w:val="nil"/>
              <w:left w:val="single" w:sz="4" w:space="0" w:color="auto"/>
              <w:bottom w:val="nil"/>
              <w:right w:val="nil"/>
            </w:tcBorders>
          </w:tcPr>
          <w:p w14:paraId="69D46CF6" w14:textId="161D1FC5" w:rsidR="002A52C3" w:rsidRPr="00BB1E87" w:rsidRDefault="002A52C3" w:rsidP="002A52C3">
            <w:pPr>
              <w:pStyle w:val="Numbertablecolumnheading-leftaligned"/>
            </w:pPr>
            <w:r w:rsidRPr="007903C4">
              <w:t>Cognition (remembering, concentrating</w:t>
            </w:r>
            <w:r w:rsidR="004B6C79">
              <w:t>,</w:t>
            </w:r>
            <w:r w:rsidRPr="007903C4">
              <w:t xml:space="preserve"> </w:t>
            </w:r>
            <w:r w:rsidR="004B6C79">
              <w:t>and</w:t>
            </w:r>
            <w:r w:rsidRPr="007903C4">
              <w:t xml:space="preserve"> learning)</w:t>
            </w:r>
          </w:p>
        </w:tc>
        <w:tc>
          <w:tcPr>
            <w:tcW w:w="1101" w:type="pct"/>
            <w:tcBorders>
              <w:top w:val="nil"/>
              <w:left w:val="nil"/>
              <w:bottom w:val="nil"/>
              <w:right w:val="nil"/>
            </w:tcBorders>
          </w:tcPr>
          <w:p w14:paraId="15651560" w14:textId="219391B4" w:rsidR="002A52C3" w:rsidRPr="008C60EC" w:rsidRDefault="002A52C3" w:rsidP="002A52C3">
            <w:pPr>
              <w:pStyle w:val="Numbertablecolumnheading-centered"/>
            </w:pPr>
            <w:r w:rsidRPr="00333896">
              <w:t>4</w:t>
            </w:r>
          </w:p>
        </w:tc>
        <w:tc>
          <w:tcPr>
            <w:tcW w:w="1622" w:type="pct"/>
            <w:tcBorders>
              <w:top w:val="nil"/>
              <w:left w:val="nil"/>
              <w:bottom w:val="nil"/>
              <w:right w:val="single" w:sz="4" w:space="0" w:color="auto"/>
            </w:tcBorders>
          </w:tcPr>
          <w:p w14:paraId="61F1CEF4" w14:textId="4A4C219C" w:rsidR="002A52C3" w:rsidRPr="008C60EC" w:rsidRDefault="002A52C3" w:rsidP="002A52C3">
            <w:pPr>
              <w:pStyle w:val="Numbertablecolumnheading-centered"/>
            </w:pPr>
            <w:r w:rsidRPr="00924D36">
              <w:t>170,000</w:t>
            </w:r>
          </w:p>
        </w:tc>
      </w:tr>
      <w:tr w:rsidR="002A52C3" w14:paraId="1BCBFECD" w14:textId="77777777" w:rsidTr="00F50B77">
        <w:trPr>
          <w:trHeight w:val="288"/>
        </w:trPr>
        <w:tc>
          <w:tcPr>
            <w:tcW w:w="2277" w:type="pct"/>
            <w:tcBorders>
              <w:top w:val="nil"/>
              <w:left w:val="single" w:sz="4" w:space="0" w:color="auto"/>
              <w:bottom w:val="nil"/>
              <w:right w:val="nil"/>
            </w:tcBorders>
          </w:tcPr>
          <w:p w14:paraId="6FC54018" w14:textId="0FDD9F65" w:rsidR="002A52C3" w:rsidRDefault="002A52C3" w:rsidP="002A52C3">
            <w:pPr>
              <w:pStyle w:val="Numbertablecolumnheading-leftaligned"/>
            </w:pPr>
            <w:r w:rsidRPr="007903C4">
              <w:t>Pain</w:t>
            </w:r>
          </w:p>
        </w:tc>
        <w:tc>
          <w:tcPr>
            <w:tcW w:w="1101" w:type="pct"/>
            <w:tcBorders>
              <w:top w:val="nil"/>
              <w:left w:val="nil"/>
              <w:bottom w:val="nil"/>
              <w:right w:val="nil"/>
            </w:tcBorders>
          </w:tcPr>
          <w:p w14:paraId="7D38D03A" w14:textId="5A514816" w:rsidR="002A52C3" w:rsidRPr="008C60EC" w:rsidRDefault="002A52C3" w:rsidP="002A52C3">
            <w:pPr>
              <w:pStyle w:val="Numbertablecolumnheading-centered"/>
            </w:pPr>
            <w:r w:rsidRPr="00333896">
              <w:t>3</w:t>
            </w:r>
          </w:p>
        </w:tc>
        <w:tc>
          <w:tcPr>
            <w:tcW w:w="1622" w:type="pct"/>
            <w:tcBorders>
              <w:top w:val="nil"/>
              <w:left w:val="nil"/>
              <w:bottom w:val="nil"/>
              <w:right w:val="single" w:sz="4" w:space="0" w:color="auto"/>
            </w:tcBorders>
          </w:tcPr>
          <w:p w14:paraId="0799367D" w14:textId="044CE8A2" w:rsidR="002A52C3" w:rsidRPr="008C60EC" w:rsidRDefault="002A52C3" w:rsidP="002A52C3">
            <w:pPr>
              <w:pStyle w:val="Numbertablecolumnheading-centered"/>
            </w:pPr>
            <w:r w:rsidRPr="00924D36">
              <w:t>136,000</w:t>
            </w:r>
          </w:p>
        </w:tc>
      </w:tr>
      <w:tr w:rsidR="002A52C3" w14:paraId="62DEDF85" w14:textId="77777777" w:rsidTr="00F50B77">
        <w:trPr>
          <w:trHeight w:val="288"/>
        </w:trPr>
        <w:tc>
          <w:tcPr>
            <w:tcW w:w="2277" w:type="pct"/>
            <w:tcBorders>
              <w:top w:val="nil"/>
              <w:left w:val="single" w:sz="4" w:space="0" w:color="auto"/>
              <w:bottom w:val="nil"/>
              <w:right w:val="nil"/>
            </w:tcBorders>
          </w:tcPr>
          <w:p w14:paraId="7BFACA72" w14:textId="48C66A66" w:rsidR="002A52C3" w:rsidRPr="00884064" w:rsidRDefault="002A52C3" w:rsidP="002A52C3">
            <w:pPr>
              <w:pStyle w:val="Numbertablecolumnheading-leftaligned"/>
            </w:pPr>
            <w:r w:rsidRPr="007903C4">
              <w:t xml:space="preserve">Mental health </w:t>
            </w:r>
          </w:p>
        </w:tc>
        <w:tc>
          <w:tcPr>
            <w:tcW w:w="1101" w:type="pct"/>
            <w:tcBorders>
              <w:top w:val="nil"/>
              <w:left w:val="nil"/>
              <w:bottom w:val="nil"/>
              <w:right w:val="nil"/>
            </w:tcBorders>
          </w:tcPr>
          <w:p w14:paraId="5F357EA8" w14:textId="7B3F4201" w:rsidR="002A52C3" w:rsidRPr="00726273" w:rsidRDefault="002A52C3" w:rsidP="002A52C3">
            <w:pPr>
              <w:pStyle w:val="Numbertablecolumnheading-centered"/>
              <w:rPr>
                <w:rFonts w:asciiTheme="minorHAnsi" w:hAnsiTheme="minorHAnsi" w:cstheme="minorHAnsi"/>
              </w:rPr>
            </w:pPr>
            <w:r w:rsidRPr="00333896">
              <w:t>3</w:t>
            </w:r>
          </w:p>
        </w:tc>
        <w:tc>
          <w:tcPr>
            <w:tcW w:w="1622" w:type="pct"/>
            <w:tcBorders>
              <w:top w:val="nil"/>
              <w:left w:val="nil"/>
              <w:bottom w:val="nil"/>
              <w:right w:val="single" w:sz="4" w:space="0" w:color="auto"/>
            </w:tcBorders>
          </w:tcPr>
          <w:p w14:paraId="2248EDFE" w14:textId="32BED42A" w:rsidR="002A52C3" w:rsidRPr="00726273" w:rsidRDefault="002A52C3" w:rsidP="002A52C3">
            <w:pPr>
              <w:pStyle w:val="Numbertablecolumnheading-centered"/>
              <w:rPr>
                <w:rFonts w:asciiTheme="minorHAnsi" w:hAnsiTheme="minorHAnsi" w:cstheme="minorHAnsi"/>
              </w:rPr>
            </w:pPr>
            <w:r w:rsidRPr="00924D36">
              <w:t>135,000</w:t>
            </w:r>
          </w:p>
        </w:tc>
      </w:tr>
      <w:tr w:rsidR="002A52C3" w14:paraId="7056E819" w14:textId="77777777" w:rsidTr="00F50B77">
        <w:trPr>
          <w:trHeight w:val="288"/>
        </w:trPr>
        <w:tc>
          <w:tcPr>
            <w:tcW w:w="2277" w:type="pct"/>
            <w:tcBorders>
              <w:top w:val="nil"/>
              <w:left w:val="single" w:sz="4" w:space="0" w:color="auto"/>
              <w:bottom w:val="nil"/>
              <w:right w:val="nil"/>
            </w:tcBorders>
          </w:tcPr>
          <w:p w14:paraId="1B31DEA4" w14:textId="57A6F50D" w:rsidR="002A52C3" w:rsidRPr="00B12ED9" w:rsidRDefault="002A52C3" w:rsidP="002A52C3">
            <w:pPr>
              <w:pStyle w:val="Numbertablecolumnheading-leftaligned"/>
            </w:pPr>
            <w:r w:rsidRPr="007903C4">
              <w:t xml:space="preserve">Socialising </w:t>
            </w:r>
          </w:p>
        </w:tc>
        <w:tc>
          <w:tcPr>
            <w:tcW w:w="1101" w:type="pct"/>
            <w:tcBorders>
              <w:top w:val="nil"/>
              <w:left w:val="nil"/>
              <w:bottom w:val="nil"/>
              <w:right w:val="nil"/>
            </w:tcBorders>
          </w:tcPr>
          <w:p w14:paraId="6336ED94" w14:textId="15269823" w:rsidR="002A52C3" w:rsidRPr="00B12ED9" w:rsidRDefault="002A52C3" w:rsidP="002A52C3">
            <w:pPr>
              <w:pStyle w:val="Numbertablecolumnheading-centered"/>
            </w:pPr>
            <w:r w:rsidRPr="00333896">
              <w:t>3</w:t>
            </w:r>
          </w:p>
        </w:tc>
        <w:tc>
          <w:tcPr>
            <w:tcW w:w="1622" w:type="pct"/>
            <w:tcBorders>
              <w:top w:val="nil"/>
              <w:left w:val="nil"/>
              <w:bottom w:val="nil"/>
              <w:right w:val="single" w:sz="4" w:space="0" w:color="auto"/>
            </w:tcBorders>
          </w:tcPr>
          <w:p w14:paraId="4D4522DA" w14:textId="2E659B0F" w:rsidR="002A52C3" w:rsidRPr="00B12ED9" w:rsidRDefault="002A52C3" w:rsidP="002A52C3">
            <w:pPr>
              <w:pStyle w:val="Numbertablecolumnheading-centered"/>
            </w:pPr>
            <w:r w:rsidRPr="00924D36">
              <w:t>117,000</w:t>
            </w:r>
          </w:p>
        </w:tc>
      </w:tr>
      <w:tr w:rsidR="002A52C3" w14:paraId="18E93996" w14:textId="77777777" w:rsidTr="00F50B77">
        <w:trPr>
          <w:trHeight w:val="288"/>
        </w:trPr>
        <w:tc>
          <w:tcPr>
            <w:tcW w:w="2277" w:type="pct"/>
            <w:tcBorders>
              <w:top w:val="nil"/>
              <w:left w:val="single" w:sz="4" w:space="0" w:color="auto"/>
              <w:bottom w:val="nil"/>
              <w:right w:val="nil"/>
            </w:tcBorders>
          </w:tcPr>
          <w:p w14:paraId="5112FE4B" w14:textId="64FBDD03" w:rsidR="002A52C3" w:rsidRPr="00B12ED9" w:rsidRDefault="002A52C3" w:rsidP="002A52C3">
            <w:pPr>
              <w:pStyle w:val="Numbertablecolumnheading-leftaligned"/>
            </w:pPr>
            <w:r w:rsidRPr="007903C4">
              <w:t xml:space="preserve">Other (personal care, communication, </w:t>
            </w:r>
            <w:r w:rsidR="00F52717">
              <w:t xml:space="preserve">and </w:t>
            </w:r>
            <w:r w:rsidRPr="007903C4">
              <w:t>intellectual)</w:t>
            </w:r>
          </w:p>
        </w:tc>
        <w:tc>
          <w:tcPr>
            <w:tcW w:w="1101" w:type="pct"/>
            <w:tcBorders>
              <w:top w:val="nil"/>
              <w:left w:val="nil"/>
              <w:bottom w:val="nil"/>
              <w:right w:val="nil"/>
            </w:tcBorders>
          </w:tcPr>
          <w:p w14:paraId="60B25CC9" w14:textId="45A9424D" w:rsidR="002A52C3" w:rsidRPr="00B12ED9" w:rsidRDefault="002A52C3" w:rsidP="002A52C3">
            <w:pPr>
              <w:pStyle w:val="Numbertablecolumnheading-centered"/>
            </w:pPr>
            <w:r>
              <w:t>3</w:t>
            </w:r>
          </w:p>
        </w:tc>
        <w:tc>
          <w:tcPr>
            <w:tcW w:w="1622" w:type="pct"/>
            <w:tcBorders>
              <w:top w:val="nil"/>
              <w:left w:val="nil"/>
              <w:bottom w:val="nil"/>
              <w:right w:val="single" w:sz="4" w:space="0" w:color="auto"/>
            </w:tcBorders>
          </w:tcPr>
          <w:p w14:paraId="359E672F" w14:textId="028BF063" w:rsidR="002A52C3" w:rsidRPr="00B12ED9" w:rsidRDefault="002A52C3" w:rsidP="002A52C3">
            <w:pPr>
              <w:pStyle w:val="Numbertablecolumnheading-centered"/>
            </w:pPr>
            <w:r w:rsidRPr="00924D36">
              <w:t>106,000</w:t>
            </w:r>
          </w:p>
        </w:tc>
      </w:tr>
      <w:tr w:rsidR="002A52C3" w14:paraId="00FAFEEE" w14:textId="77777777" w:rsidTr="00F50B77">
        <w:trPr>
          <w:trHeight w:val="288"/>
        </w:trPr>
        <w:tc>
          <w:tcPr>
            <w:tcW w:w="2277" w:type="pct"/>
            <w:tcBorders>
              <w:top w:val="nil"/>
              <w:left w:val="single" w:sz="4" w:space="0" w:color="auto"/>
              <w:bottom w:val="nil"/>
              <w:right w:val="nil"/>
            </w:tcBorders>
          </w:tcPr>
          <w:p w14:paraId="4652FC38" w14:textId="268A62B9" w:rsidR="002A52C3" w:rsidRPr="00B12ED9" w:rsidRDefault="002A52C3" w:rsidP="002A52C3">
            <w:pPr>
              <w:pStyle w:val="Numbertablecolumnheading-leftaligned"/>
            </w:pPr>
            <w:r>
              <w:t>Fatigue</w:t>
            </w:r>
          </w:p>
        </w:tc>
        <w:tc>
          <w:tcPr>
            <w:tcW w:w="1101" w:type="pct"/>
            <w:tcBorders>
              <w:top w:val="nil"/>
              <w:left w:val="nil"/>
              <w:bottom w:val="nil"/>
              <w:right w:val="nil"/>
            </w:tcBorders>
          </w:tcPr>
          <w:p w14:paraId="78A2CA2E" w14:textId="3F86DE10" w:rsidR="002A52C3" w:rsidRPr="00B12ED9" w:rsidRDefault="002A52C3" w:rsidP="002A52C3">
            <w:pPr>
              <w:pStyle w:val="Numbertablecolumnheading-centered"/>
            </w:pPr>
            <w:r>
              <w:t>2</w:t>
            </w:r>
          </w:p>
        </w:tc>
        <w:tc>
          <w:tcPr>
            <w:tcW w:w="1622" w:type="pct"/>
            <w:tcBorders>
              <w:top w:val="nil"/>
              <w:left w:val="nil"/>
              <w:bottom w:val="nil"/>
              <w:right w:val="single" w:sz="4" w:space="0" w:color="auto"/>
            </w:tcBorders>
          </w:tcPr>
          <w:p w14:paraId="18333EC0" w14:textId="25F6B942" w:rsidR="002A52C3" w:rsidRPr="00B12ED9" w:rsidRDefault="002A52C3" w:rsidP="002A52C3">
            <w:pPr>
              <w:pStyle w:val="Numbertablecolumnheading-centered"/>
            </w:pPr>
            <w:r>
              <w:t>90,000</w:t>
            </w:r>
          </w:p>
        </w:tc>
      </w:tr>
      <w:tr w:rsidR="002A52C3" w14:paraId="11F530FC" w14:textId="77777777" w:rsidTr="00F50B77">
        <w:trPr>
          <w:trHeight w:val="288"/>
        </w:trPr>
        <w:tc>
          <w:tcPr>
            <w:tcW w:w="2277" w:type="pct"/>
            <w:tcBorders>
              <w:top w:val="nil"/>
              <w:left w:val="single" w:sz="4" w:space="0" w:color="auto"/>
              <w:bottom w:val="single" w:sz="4" w:space="0" w:color="auto"/>
              <w:right w:val="nil"/>
            </w:tcBorders>
          </w:tcPr>
          <w:p w14:paraId="537B192A" w14:textId="49AC2E2B" w:rsidR="002A52C3" w:rsidRPr="00BB1E87" w:rsidRDefault="002A52C3" w:rsidP="002A52C3">
            <w:pPr>
              <w:pStyle w:val="Numbertablecolumnheading-leftaligned"/>
            </w:pPr>
            <w:r>
              <w:t>Total</w:t>
            </w:r>
          </w:p>
        </w:tc>
        <w:tc>
          <w:tcPr>
            <w:tcW w:w="1101" w:type="pct"/>
            <w:tcBorders>
              <w:top w:val="nil"/>
              <w:left w:val="nil"/>
              <w:bottom w:val="single" w:sz="4" w:space="0" w:color="auto"/>
              <w:right w:val="nil"/>
            </w:tcBorders>
          </w:tcPr>
          <w:p w14:paraId="3481323B" w14:textId="57460872" w:rsidR="002A52C3" w:rsidRPr="008C60EC" w:rsidRDefault="002A52C3" w:rsidP="002A52C3">
            <w:pPr>
              <w:pStyle w:val="Numbertablecolumnheading-centered"/>
            </w:pPr>
            <w:r w:rsidRPr="00333896">
              <w:t>18</w:t>
            </w:r>
          </w:p>
        </w:tc>
        <w:tc>
          <w:tcPr>
            <w:tcW w:w="1622" w:type="pct"/>
            <w:tcBorders>
              <w:top w:val="nil"/>
              <w:left w:val="nil"/>
              <w:bottom w:val="single" w:sz="4" w:space="0" w:color="auto"/>
              <w:right w:val="single" w:sz="4" w:space="0" w:color="auto"/>
            </w:tcBorders>
          </w:tcPr>
          <w:p w14:paraId="5B70D055" w14:textId="77777777" w:rsidR="002A52C3" w:rsidRPr="008C60EC" w:rsidRDefault="002A52C3" w:rsidP="002A52C3">
            <w:pPr>
              <w:pStyle w:val="Numbertablecolumnheading-centered"/>
            </w:pPr>
            <w:r w:rsidRPr="00BE209D">
              <w:t>753,000</w:t>
            </w:r>
          </w:p>
        </w:tc>
      </w:tr>
      <w:tr w:rsidR="000E2DE1" w14:paraId="03B5A8FA" w14:textId="77777777" w:rsidTr="00F50B77">
        <w:trPr>
          <w:trHeight w:val="288"/>
        </w:trPr>
        <w:tc>
          <w:tcPr>
            <w:tcW w:w="5000" w:type="pct"/>
            <w:gridSpan w:val="3"/>
            <w:tcBorders>
              <w:top w:val="single" w:sz="4" w:space="0" w:color="auto"/>
              <w:left w:val="single" w:sz="4" w:space="0" w:color="auto"/>
              <w:right w:val="single" w:sz="4" w:space="0" w:color="auto"/>
            </w:tcBorders>
            <w:vAlign w:val="center"/>
          </w:tcPr>
          <w:p w14:paraId="066500CD" w14:textId="78DA3388" w:rsidR="000E2DE1" w:rsidRPr="00D37CD2" w:rsidRDefault="00E73F15" w:rsidP="000E2DE1">
            <w:pPr>
              <w:pStyle w:val="Numbertablecolumnheading-centered"/>
              <w:jc w:val="left"/>
            </w:pPr>
            <w:r>
              <w:t>Adults</w:t>
            </w:r>
            <w:r w:rsidR="000E2DE1" w:rsidRPr="00010257">
              <w:t xml:space="preserve"> </w:t>
            </w:r>
            <w:r w:rsidR="000E2DE1">
              <w:t>with functional difficulties in more than one domain were counted in each</w:t>
            </w:r>
            <w:r w:rsidR="000E2DE1" w:rsidRPr="00010257">
              <w:t>.</w:t>
            </w:r>
          </w:p>
          <w:p w14:paraId="6BDC765C" w14:textId="77777777" w:rsidR="000E2DE1" w:rsidRDefault="000E2DE1" w:rsidP="000E2DE1">
            <w:pPr>
              <w:pStyle w:val="Numbertablecolumnheading-centered"/>
              <w:jc w:val="left"/>
            </w:pPr>
            <w:r w:rsidRPr="4A07F070">
              <w:rPr>
                <w:b/>
              </w:rPr>
              <w:t>Source</w:t>
            </w:r>
            <w:r>
              <w:t>: Stats NZ</w:t>
            </w:r>
          </w:p>
        </w:tc>
      </w:tr>
    </w:tbl>
    <w:p w14:paraId="6FE26C9E" w14:textId="41867618" w:rsidR="00D25697" w:rsidRDefault="00D25697" w:rsidP="00D25697">
      <w:pPr>
        <w:pStyle w:val="Heading3"/>
      </w:pPr>
      <w:bookmarkStart w:id="114" w:name="_Toc187762881"/>
      <w:bookmarkStart w:id="115" w:name="_Toc187763842"/>
      <w:bookmarkStart w:id="116" w:name="_Toc190856845"/>
      <w:r>
        <w:t>5.1.1 By gender</w:t>
      </w:r>
      <w:bookmarkEnd w:id="114"/>
      <w:bookmarkEnd w:id="115"/>
      <w:bookmarkEnd w:id="116"/>
      <w:r>
        <w:t xml:space="preserve"> </w:t>
      </w:r>
    </w:p>
    <w:p w14:paraId="1DBE29B0" w14:textId="09E7BB70" w:rsidR="00D25697" w:rsidRDefault="00D25697" w:rsidP="00D25697">
      <w:r>
        <w:t xml:space="preserve">Women were more likely than men to </w:t>
      </w:r>
      <w:r w:rsidR="00DD0514">
        <w:t xml:space="preserve">report </w:t>
      </w:r>
      <w:r>
        <w:t xml:space="preserve">difficulties in the physical, sensory, </w:t>
      </w:r>
      <w:r w:rsidR="00952A6E">
        <w:t xml:space="preserve">pain, </w:t>
      </w:r>
      <w:r w:rsidR="00090D36">
        <w:t xml:space="preserve">mental health, and </w:t>
      </w:r>
      <w:r>
        <w:t>fatigue</w:t>
      </w:r>
      <w:r w:rsidR="00090D36">
        <w:t xml:space="preserve"> </w:t>
      </w:r>
      <w:r>
        <w:t xml:space="preserve">domains. </w:t>
      </w:r>
    </w:p>
    <w:p w14:paraId="3537528B" w14:textId="0029FE0E" w:rsidR="00C0569B" w:rsidRPr="00E6628C" w:rsidRDefault="00C0569B" w:rsidP="00C0569B">
      <w:pPr>
        <w:pStyle w:val="Figureandtablenumbers"/>
        <w:spacing w:before="0"/>
      </w:pPr>
      <w:r>
        <w:t xml:space="preserve">Table </w:t>
      </w:r>
      <w:r w:rsidR="008E4A93">
        <w:t>9</w:t>
      </w:r>
    </w:p>
    <w:p w14:paraId="26667231" w14:textId="41E8E719" w:rsidR="00C0569B" w:rsidRPr="000275D8" w:rsidRDefault="008E4A93" w:rsidP="00C0569B">
      <w:pPr>
        <w:pStyle w:val="Tabletitle-forhiding"/>
      </w:pPr>
      <w:bookmarkStart w:id="117" w:name="_Toc190426278"/>
      <w:r>
        <w:t>9</w:t>
      </w:r>
      <w:r w:rsidR="00C0569B">
        <w:t xml:space="preserve"> Grouped functional domain disability rates for adults</w:t>
      </w:r>
      <w:r w:rsidR="003C1EC3">
        <w:t>, by gender</w:t>
      </w:r>
      <w:bookmarkEnd w:id="117"/>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27"/>
        <w:gridCol w:w="1145"/>
        <w:gridCol w:w="1250"/>
        <w:gridCol w:w="1161"/>
        <w:gridCol w:w="1233"/>
        <w:gridCol w:w="1176"/>
        <w:gridCol w:w="1224"/>
      </w:tblGrid>
      <w:tr w:rsidR="00C0569B" w14:paraId="46BC9B5D" w14:textId="77777777" w:rsidTr="009B1C87">
        <w:trPr>
          <w:trHeight w:val="413"/>
        </w:trPr>
        <w:tc>
          <w:tcPr>
            <w:tcW w:w="5000" w:type="pct"/>
            <w:gridSpan w:val="7"/>
            <w:tcBorders>
              <w:left w:val="single" w:sz="4" w:space="0" w:color="auto"/>
              <w:right w:val="single" w:sz="4" w:space="0" w:color="auto"/>
            </w:tcBorders>
          </w:tcPr>
          <w:p w14:paraId="43379785" w14:textId="76770C4C" w:rsidR="00C0569B" w:rsidRPr="00B40B92" w:rsidRDefault="003C1EC3" w:rsidP="009B1C87">
            <w:pPr>
              <w:pStyle w:val="Tabletitle1"/>
            </w:pPr>
            <w:r>
              <w:t>Grouped functional domain disability rates for adults, by gender</w:t>
            </w:r>
            <w:r w:rsidR="00A02E1C">
              <w:t xml:space="preserve"> </w:t>
            </w:r>
          </w:p>
        </w:tc>
      </w:tr>
      <w:tr w:rsidR="00C0569B" w14:paraId="057532C5" w14:textId="77777777" w:rsidTr="00DA1F1C">
        <w:trPr>
          <w:trHeight w:val="325"/>
        </w:trPr>
        <w:tc>
          <w:tcPr>
            <w:tcW w:w="1013" w:type="pct"/>
            <w:vMerge w:val="restart"/>
            <w:tcBorders>
              <w:left w:val="single" w:sz="4" w:space="0" w:color="auto"/>
            </w:tcBorders>
            <w:vAlign w:val="center"/>
          </w:tcPr>
          <w:p w14:paraId="4CA114A7" w14:textId="5B57C28C" w:rsidR="00C0569B" w:rsidRPr="004A691B" w:rsidRDefault="00F33AFD" w:rsidP="009B1C87">
            <w:pPr>
              <w:pStyle w:val="Numbertablecolumnheading-leftaligned"/>
            </w:pPr>
            <w:r>
              <w:t>Grouped functional domains</w:t>
            </w:r>
            <w:r w:rsidR="00D53460">
              <w:t xml:space="preserve"> for adults</w:t>
            </w:r>
          </w:p>
        </w:tc>
        <w:tc>
          <w:tcPr>
            <w:tcW w:w="1328" w:type="pct"/>
            <w:gridSpan w:val="2"/>
            <w:vAlign w:val="center"/>
          </w:tcPr>
          <w:p w14:paraId="5AA22AA6" w14:textId="77777777" w:rsidR="00C0569B" w:rsidRDefault="00C0569B" w:rsidP="009B1C87">
            <w:pPr>
              <w:pStyle w:val="Numbertablecolumnheading-centered"/>
            </w:pPr>
            <w:r>
              <w:t>Total adults</w:t>
            </w:r>
          </w:p>
        </w:tc>
        <w:tc>
          <w:tcPr>
            <w:tcW w:w="1328" w:type="pct"/>
            <w:gridSpan w:val="2"/>
            <w:vAlign w:val="center"/>
          </w:tcPr>
          <w:p w14:paraId="1A4B164C" w14:textId="3B6032ED" w:rsidR="00C0569B" w:rsidRPr="00E409C9" w:rsidRDefault="003C1EC3" w:rsidP="009B1C87">
            <w:pPr>
              <w:pStyle w:val="Numbertablecolumnheading-centered"/>
            </w:pPr>
            <w:r>
              <w:t>Men</w:t>
            </w:r>
          </w:p>
        </w:tc>
        <w:tc>
          <w:tcPr>
            <w:tcW w:w="1331" w:type="pct"/>
            <w:gridSpan w:val="2"/>
            <w:tcBorders>
              <w:right w:val="single" w:sz="4" w:space="0" w:color="auto"/>
            </w:tcBorders>
            <w:vAlign w:val="center"/>
          </w:tcPr>
          <w:p w14:paraId="4DA31BFA" w14:textId="425EA17D" w:rsidR="00C0569B" w:rsidRPr="00B40B92" w:rsidRDefault="003C1EC3" w:rsidP="009B1C87">
            <w:pPr>
              <w:pStyle w:val="Numbertablecolumnheading-centered"/>
            </w:pPr>
            <w:r>
              <w:t>Wo</w:t>
            </w:r>
            <w:r w:rsidR="00F33AFD">
              <w:t>men</w:t>
            </w:r>
          </w:p>
        </w:tc>
      </w:tr>
      <w:tr w:rsidR="00C0569B" w14:paraId="5AFD75EA" w14:textId="77777777" w:rsidTr="00D53460">
        <w:trPr>
          <w:trHeight w:val="277"/>
        </w:trPr>
        <w:tc>
          <w:tcPr>
            <w:tcW w:w="1013" w:type="pct"/>
            <w:vMerge/>
            <w:tcBorders>
              <w:left w:val="single" w:sz="4" w:space="0" w:color="auto"/>
              <w:bottom w:val="single" w:sz="4" w:space="0" w:color="auto"/>
            </w:tcBorders>
          </w:tcPr>
          <w:p w14:paraId="7C296716" w14:textId="77777777" w:rsidR="00C0569B" w:rsidRDefault="00C0569B" w:rsidP="009B1C87"/>
        </w:tc>
        <w:tc>
          <w:tcPr>
            <w:tcW w:w="635" w:type="pct"/>
            <w:tcBorders>
              <w:bottom w:val="single" w:sz="4" w:space="0" w:color="auto"/>
            </w:tcBorders>
          </w:tcPr>
          <w:p w14:paraId="5B64A7AF" w14:textId="77777777" w:rsidR="00C0569B" w:rsidRDefault="00C0569B" w:rsidP="009B1C87">
            <w:pPr>
              <w:pStyle w:val="Numbertablecolumnheading-centered"/>
            </w:pPr>
            <w:r>
              <w:t>Disability rate (%)</w:t>
            </w:r>
          </w:p>
        </w:tc>
        <w:tc>
          <w:tcPr>
            <w:tcW w:w="693" w:type="pct"/>
            <w:tcBorders>
              <w:bottom w:val="single" w:sz="4" w:space="0" w:color="auto"/>
            </w:tcBorders>
          </w:tcPr>
          <w:p w14:paraId="3F81C59B" w14:textId="025C8F05" w:rsidR="00C0569B" w:rsidRDefault="00C0569B" w:rsidP="009B1C87">
            <w:pPr>
              <w:pStyle w:val="Numbertablecolumnheading-centered"/>
            </w:pPr>
            <w:r>
              <w:t xml:space="preserve">Number of disabled </w:t>
            </w:r>
            <w:r w:rsidR="00062991">
              <w:t>adults</w:t>
            </w:r>
          </w:p>
        </w:tc>
        <w:tc>
          <w:tcPr>
            <w:tcW w:w="644" w:type="pct"/>
            <w:tcBorders>
              <w:bottom w:val="single" w:sz="4" w:space="0" w:color="auto"/>
              <w:right w:val="single" w:sz="4" w:space="0" w:color="auto"/>
            </w:tcBorders>
          </w:tcPr>
          <w:p w14:paraId="7086ADC3" w14:textId="77777777" w:rsidR="00C0569B" w:rsidRPr="00BB1E87" w:rsidRDefault="00C0569B" w:rsidP="009B1C87">
            <w:pPr>
              <w:pStyle w:val="Numbertablecolumnheading-centered"/>
            </w:pPr>
            <w:r>
              <w:t>Disability rate (%)</w:t>
            </w:r>
          </w:p>
        </w:tc>
        <w:tc>
          <w:tcPr>
            <w:tcW w:w="684" w:type="pct"/>
            <w:tcBorders>
              <w:bottom w:val="single" w:sz="4" w:space="0" w:color="auto"/>
              <w:right w:val="single" w:sz="4" w:space="0" w:color="auto"/>
            </w:tcBorders>
          </w:tcPr>
          <w:p w14:paraId="79C5059A" w14:textId="794E64D6" w:rsidR="00C0569B" w:rsidRPr="00BB1E87" w:rsidRDefault="00C0569B" w:rsidP="009B1C87">
            <w:pPr>
              <w:pStyle w:val="Numbertablecolumnheading-centered"/>
            </w:pPr>
            <w:r>
              <w:t xml:space="preserve">Number of disabled </w:t>
            </w:r>
            <w:r w:rsidR="00062991">
              <w:t>adults</w:t>
            </w:r>
          </w:p>
        </w:tc>
        <w:tc>
          <w:tcPr>
            <w:tcW w:w="652" w:type="pct"/>
            <w:tcBorders>
              <w:bottom w:val="single" w:sz="4" w:space="0" w:color="auto"/>
              <w:right w:val="single" w:sz="4" w:space="0" w:color="auto"/>
            </w:tcBorders>
          </w:tcPr>
          <w:p w14:paraId="1674D737" w14:textId="77777777" w:rsidR="00C0569B" w:rsidRPr="00BB1E87" w:rsidRDefault="00C0569B" w:rsidP="009B1C87">
            <w:pPr>
              <w:pStyle w:val="Numbertablecolumnheading-centered"/>
            </w:pPr>
            <w:r>
              <w:t>Disability rate (%)</w:t>
            </w:r>
          </w:p>
        </w:tc>
        <w:tc>
          <w:tcPr>
            <w:tcW w:w="679" w:type="pct"/>
            <w:tcBorders>
              <w:bottom w:val="single" w:sz="4" w:space="0" w:color="auto"/>
              <w:right w:val="single" w:sz="4" w:space="0" w:color="auto"/>
            </w:tcBorders>
          </w:tcPr>
          <w:p w14:paraId="1B710C9C" w14:textId="23F42FE0" w:rsidR="00C0569B" w:rsidRPr="00BB1E87" w:rsidRDefault="00C0569B" w:rsidP="009B1C87">
            <w:pPr>
              <w:pStyle w:val="Numbertablecolumnheading-centered"/>
            </w:pPr>
            <w:r>
              <w:t xml:space="preserve">Number of disabled </w:t>
            </w:r>
            <w:r w:rsidR="00062991">
              <w:t>adults</w:t>
            </w:r>
          </w:p>
        </w:tc>
      </w:tr>
      <w:tr w:rsidR="00D53460" w14:paraId="6FD65246" w14:textId="77777777" w:rsidTr="00D53460">
        <w:trPr>
          <w:trHeight w:val="140"/>
        </w:trPr>
        <w:tc>
          <w:tcPr>
            <w:tcW w:w="1013" w:type="pct"/>
            <w:tcBorders>
              <w:top w:val="single" w:sz="4" w:space="0" w:color="auto"/>
              <w:left w:val="single" w:sz="4" w:space="0" w:color="auto"/>
              <w:bottom w:val="nil"/>
              <w:right w:val="nil"/>
            </w:tcBorders>
          </w:tcPr>
          <w:p w14:paraId="48A18985" w14:textId="3C9DC2A3" w:rsidR="00C47979" w:rsidRDefault="00C47979" w:rsidP="00C47979">
            <w:pPr>
              <w:pStyle w:val="Numbertablecolumnheading-leftaligned"/>
            </w:pPr>
            <w:r>
              <w:t>Physical</w:t>
            </w:r>
          </w:p>
        </w:tc>
        <w:tc>
          <w:tcPr>
            <w:tcW w:w="635" w:type="pct"/>
            <w:tcBorders>
              <w:top w:val="single" w:sz="4" w:space="0" w:color="auto"/>
              <w:left w:val="nil"/>
              <w:bottom w:val="nil"/>
              <w:right w:val="nil"/>
            </w:tcBorders>
          </w:tcPr>
          <w:p w14:paraId="7825824A" w14:textId="09E460B6" w:rsidR="00C47979" w:rsidRPr="00676A28" w:rsidRDefault="00C47979" w:rsidP="00C47979">
            <w:pPr>
              <w:pStyle w:val="Numbertablecolumnheading-centered"/>
            </w:pPr>
            <w:r w:rsidRPr="00830976">
              <w:t>9</w:t>
            </w:r>
          </w:p>
        </w:tc>
        <w:tc>
          <w:tcPr>
            <w:tcW w:w="693" w:type="pct"/>
            <w:tcBorders>
              <w:top w:val="single" w:sz="4" w:space="0" w:color="auto"/>
              <w:left w:val="nil"/>
              <w:bottom w:val="nil"/>
              <w:right w:val="nil"/>
            </w:tcBorders>
          </w:tcPr>
          <w:p w14:paraId="52043BF4" w14:textId="674168B7" w:rsidR="00C47979" w:rsidRPr="00676A28" w:rsidRDefault="00C47979" w:rsidP="00C47979">
            <w:pPr>
              <w:pStyle w:val="Numbertablecolumnheading-centered"/>
            </w:pPr>
            <w:r w:rsidRPr="00830976">
              <w:t>370,000</w:t>
            </w:r>
          </w:p>
        </w:tc>
        <w:tc>
          <w:tcPr>
            <w:tcW w:w="644" w:type="pct"/>
            <w:tcBorders>
              <w:top w:val="single" w:sz="4" w:space="0" w:color="auto"/>
              <w:left w:val="nil"/>
              <w:bottom w:val="nil"/>
              <w:right w:val="nil"/>
            </w:tcBorders>
          </w:tcPr>
          <w:p w14:paraId="077CEF36" w14:textId="6B3AC3AD" w:rsidR="00C47979" w:rsidRPr="00676A28" w:rsidRDefault="00C47979" w:rsidP="00C47979">
            <w:pPr>
              <w:pStyle w:val="Numbertablecolumnheading-centered"/>
            </w:pPr>
            <w:r w:rsidRPr="00830976">
              <w:t>7</w:t>
            </w:r>
          </w:p>
        </w:tc>
        <w:tc>
          <w:tcPr>
            <w:tcW w:w="684" w:type="pct"/>
            <w:tcBorders>
              <w:top w:val="single" w:sz="4" w:space="0" w:color="auto"/>
              <w:left w:val="nil"/>
              <w:bottom w:val="nil"/>
              <w:right w:val="nil"/>
            </w:tcBorders>
          </w:tcPr>
          <w:p w14:paraId="5EF1AFD9" w14:textId="4F417B0E" w:rsidR="00C47979" w:rsidRPr="00676A28" w:rsidRDefault="00C47979" w:rsidP="00C47979">
            <w:pPr>
              <w:pStyle w:val="Numbertablecolumnheading-centered"/>
            </w:pPr>
            <w:r w:rsidRPr="00830976">
              <w:t>143,000</w:t>
            </w:r>
          </w:p>
        </w:tc>
        <w:tc>
          <w:tcPr>
            <w:tcW w:w="652" w:type="pct"/>
            <w:tcBorders>
              <w:top w:val="single" w:sz="4" w:space="0" w:color="auto"/>
              <w:left w:val="nil"/>
              <w:bottom w:val="nil"/>
              <w:right w:val="nil"/>
            </w:tcBorders>
          </w:tcPr>
          <w:p w14:paraId="78F411BD" w14:textId="00975DB2" w:rsidR="00C47979" w:rsidRPr="00676A28" w:rsidRDefault="00C47979" w:rsidP="00C47979">
            <w:pPr>
              <w:pStyle w:val="Numbertablecolumnheading-centered"/>
            </w:pPr>
            <w:r w:rsidRPr="00830976">
              <w:t>11</w:t>
            </w:r>
          </w:p>
        </w:tc>
        <w:tc>
          <w:tcPr>
            <w:tcW w:w="679" w:type="pct"/>
            <w:tcBorders>
              <w:top w:val="single" w:sz="4" w:space="0" w:color="auto"/>
              <w:left w:val="nil"/>
              <w:bottom w:val="nil"/>
              <w:right w:val="single" w:sz="4" w:space="0" w:color="auto"/>
            </w:tcBorders>
          </w:tcPr>
          <w:p w14:paraId="46596DCE" w14:textId="67219E47" w:rsidR="00C47979" w:rsidRPr="00676A28" w:rsidRDefault="00C47979" w:rsidP="00C47979">
            <w:pPr>
              <w:pStyle w:val="Numbertablecolumnheading-centered"/>
            </w:pPr>
            <w:r w:rsidRPr="00830976">
              <w:t>226,000</w:t>
            </w:r>
          </w:p>
        </w:tc>
      </w:tr>
      <w:tr w:rsidR="00D53460" w14:paraId="1B868303" w14:textId="77777777" w:rsidTr="00D53460">
        <w:trPr>
          <w:trHeight w:val="284"/>
        </w:trPr>
        <w:tc>
          <w:tcPr>
            <w:tcW w:w="1013" w:type="pct"/>
            <w:tcBorders>
              <w:top w:val="nil"/>
              <w:left w:val="single" w:sz="4" w:space="0" w:color="auto"/>
              <w:bottom w:val="nil"/>
              <w:right w:val="nil"/>
            </w:tcBorders>
          </w:tcPr>
          <w:p w14:paraId="0C1F2A7D" w14:textId="62589B97" w:rsidR="00C47979" w:rsidRPr="00E409C9" w:rsidRDefault="00C47979" w:rsidP="00C47979">
            <w:pPr>
              <w:pStyle w:val="Numbertablecolumnheading-leftaligned"/>
            </w:pPr>
            <w:r>
              <w:t>Sensory</w:t>
            </w:r>
          </w:p>
        </w:tc>
        <w:tc>
          <w:tcPr>
            <w:tcW w:w="635" w:type="pct"/>
            <w:tcBorders>
              <w:top w:val="nil"/>
              <w:left w:val="nil"/>
              <w:bottom w:val="nil"/>
              <w:right w:val="nil"/>
            </w:tcBorders>
          </w:tcPr>
          <w:p w14:paraId="22ADB5FC" w14:textId="21D84F61" w:rsidR="00C47979" w:rsidRPr="008C60EC" w:rsidRDefault="00C47979" w:rsidP="00C47979">
            <w:pPr>
              <w:pStyle w:val="Numbertablecolumnheading-centered"/>
            </w:pPr>
            <w:r w:rsidRPr="00830976">
              <w:t>5</w:t>
            </w:r>
          </w:p>
        </w:tc>
        <w:tc>
          <w:tcPr>
            <w:tcW w:w="693" w:type="pct"/>
            <w:tcBorders>
              <w:top w:val="nil"/>
              <w:left w:val="nil"/>
              <w:bottom w:val="nil"/>
              <w:right w:val="nil"/>
            </w:tcBorders>
          </w:tcPr>
          <w:p w14:paraId="7D2B3D57" w14:textId="392EA256" w:rsidR="00C47979" w:rsidRPr="008C60EC" w:rsidRDefault="00C47979" w:rsidP="00C47979">
            <w:pPr>
              <w:pStyle w:val="Numbertablecolumnheading-centered"/>
            </w:pPr>
            <w:r w:rsidRPr="00830976">
              <w:t>223,000</w:t>
            </w:r>
          </w:p>
        </w:tc>
        <w:tc>
          <w:tcPr>
            <w:tcW w:w="644" w:type="pct"/>
            <w:tcBorders>
              <w:top w:val="nil"/>
              <w:left w:val="nil"/>
              <w:bottom w:val="nil"/>
              <w:right w:val="nil"/>
            </w:tcBorders>
          </w:tcPr>
          <w:p w14:paraId="7EDD26AA" w14:textId="77446293" w:rsidR="00C47979" w:rsidRPr="008C60EC" w:rsidRDefault="00C47979" w:rsidP="00C47979">
            <w:pPr>
              <w:pStyle w:val="Numbertablecolumnheading-centered"/>
            </w:pPr>
            <w:r w:rsidRPr="00830976">
              <w:t>5</w:t>
            </w:r>
          </w:p>
        </w:tc>
        <w:tc>
          <w:tcPr>
            <w:tcW w:w="684" w:type="pct"/>
            <w:tcBorders>
              <w:top w:val="nil"/>
              <w:left w:val="nil"/>
              <w:bottom w:val="nil"/>
              <w:right w:val="nil"/>
            </w:tcBorders>
          </w:tcPr>
          <w:p w14:paraId="052155E7" w14:textId="69E6DDFC" w:rsidR="00C47979" w:rsidRPr="008C60EC" w:rsidRDefault="00C47979" w:rsidP="00C47979">
            <w:pPr>
              <w:pStyle w:val="Numbertablecolumnheading-centered"/>
            </w:pPr>
            <w:r w:rsidRPr="00830976">
              <w:t>95,000</w:t>
            </w:r>
          </w:p>
        </w:tc>
        <w:tc>
          <w:tcPr>
            <w:tcW w:w="652" w:type="pct"/>
            <w:tcBorders>
              <w:top w:val="nil"/>
              <w:left w:val="nil"/>
              <w:bottom w:val="nil"/>
              <w:right w:val="nil"/>
            </w:tcBorders>
          </w:tcPr>
          <w:p w14:paraId="6AE9220F" w14:textId="7F271CDC" w:rsidR="00C47979" w:rsidRPr="008C60EC" w:rsidRDefault="00C47979" w:rsidP="00C47979">
            <w:pPr>
              <w:pStyle w:val="Numbertablecolumnheading-centered"/>
            </w:pPr>
            <w:r w:rsidRPr="00830976">
              <w:t>6</w:t>
            </w:r>
          </w:p>
        </w:tc>
        <w:tc>
          <w:tcPr>
            <w:tcW w:w="679" w:type="pct"/>
            <w:tcBorders>
              <w:top w:val="nil"/>
              <w:left w:val="nil"/>
              <w:bottom w:val="nil"/>
              <w:right w:val="single" w:sz="4" w:space="0" w:color="auto"/>
            </w:tcBorders>
          </w:tcPr>
          <w:p w14:paraId="0CCC7A8F" w14:textId="65FB9C8C" w:rsidR="00C47979" w:rsidRPr="008C60EC" w:rsidRDefault="00C47979" w:rsidP="00C47979">
            <w:pPr>
              <w:pStyle w:val="Numbertablecolumnheading-centered"/>
            </w:pPr>
            <w:r w:rsidRPr="00830976">
              <w:t>126,000</w:t>
            </w:r>
          </w:p>
        </w:tc>
      </w:tr>
      <w:tr w:rsidR="00952A6E" w14:paraId="69298DCC" w14:textId="77777777" w:rsidTr="00D53460">
        <w:trPr>
          <w:trHeight w:val="284"/>
        </w:trPr>
        <w:tc>
          <w:tcPr>
            <w:tcW w:w="1013" w:type="pct"/>
            <w:tcBorders>
              <w:top w:val="nil"/>
              <w:left w:val="single" w:sz="4" w:space="0" w:color="auto"/>
              <w:bottom w:val="nil"/>
              <w:right w:val="nil"/>
            </w:tcBorders>
          </w:tcPr>
          <w:p w14:paraId="338669D9" w14:textId="16FCD3BA" w:rsidR="00952A6E" w:rsidRDefault="00952A6E" w:rsidP="00952A6E">
            <w:pPr>
              <w:pStyle w:val="Numbertablecolumnheading-leftaligned"/>
            </w:pPr>
            <w:r>
              <w:t>Pain</w:t>
            </w:r>
          </w:p>
        </w:tc>
        <w:tc>
          <w:tcPr>
            <w:tcW w:w="635" w:type="pct"/>
            <w:tcBorders>
              <w:top w:val="nil"/>
              <w:left w:val="nil"/>
              <w:bottom w:val="nil"/>
              <w:right w:val="nil"/>
            </w:tcBorders>
          </w:tcPr>
          <w:p w14:paraId="46978877" w14:textId="7C534774" w:rsidR="00952A6E" w:rsidRPr="00830976" w:rsidRDefault="00952A6E" w:rsidP="00952A6E">
            <w:pPr>
              <w:pStyle w:val="Numbertablecolumnheading-centered"/>
            </w:pPr>
            <w:r w:rsidRPr="00830976">
              <w:t>3</w:t>
            </w:r>
          </w:p>
        </w:tc>
        <w:tc>
          <w:tcPr>
            <w:tcW w:w="693" w:type="pct"/>
            <w:tcBorders>
              <w:top w:val="nil"/>
              <w:left w:val="nil"/>
              <w:bottom w:val="nil"/>
              <w:right w:val="nil"/>
            </w:tcBorders>
          </w:tcPr>
          <w:p w14:paraId="3E5B26E1" w14:textId="21E938E2" w:rsidR="00952A6E" w:rsidRPr="00830976" w:rsidRDefault="00952A6E" w:rsidP="00952A6E">
            <w:pPr>
              <w:pStyle w:val="Numbertablecolumnheading-centered"/>
            </w:pPr>
            <w:r w:rsidRPr="00830976">
              <w:t>136,000</w:t>
            </w:r>
          </w:p>
        </w:tc>
        <w:tc>
          <w:tcPr>
            <w:tcW w:w="644" w:type="pct"/>
            <w:tcBorders>
              <w:top w:val="nil"/>
              <w:left w:val="nil"/>
              <w:bottom w:val="nil"/>
              <w:right w:val="nil"/>
            </w:tcBorders>
          </w:tcPr>
          <w:p w14:paraId="49EF63EC" w14:textId="0B3806CE" w:rsidR="00952A6E" w:rsidRPr="00830976" w:rsidRDefault="00952A6E" w:rsidP="00952A6E">
            <w:pPr>
              <w:pStyle w:val="Numbertablecolumnheading-centered"/>
            </w:pPr>
            <w:r w:rsidRPr="00830976">
              <w:t>3</w:t>
            </w:r>
          </w:p>
        </w:tc>
        <w:tc>
          <w:tcPr>
            <w:tcW w:w="684" w:type="pct"/>
            <w:tcBorders>
              <w:top w:val="nil"/>
              <w:left w:val="nil"/>
              <w:bottom w:val="nil"/>
              <w:right w:val="nil"/>
            </w:tcBorders>
          </w:tcPr>
          <w:p w14:paraId="7FD93AEF" w14:textId="7F69B1FF" w:rsidR="00952A6E" w:rsidRPr="00830976" w:rsidRDefault="00952A6E" w:rsidP="00952A6E">
            <w:pPr>
              <w:pStyle w:val="Numbertablecolumnheading-centered"/>
            </w:pPr>
            <w:r w:rsidRPr="00830976">
              <w:t>56,000</w:t>
            </w:r>
          </w:p>
        </w:tc>
        <w:tc>
          <w:tcPr>
            <w:tcW w:w="652" w:type="pct"/>
            <w:tcBorders>
              <w:top w:val="nil"/>
              <w:left w:val="nil"/>
              <w:bottom w:val="nil"/>
              <w:right w:val="nil"/>
            </w:tcBorders>
          </w:tcPr>
          <w:p w14:paraId="4BB6D9BC" w14:textId="14DE8770" w:rsidR="00952A6E" w:rsidRPr="00830976" w:rsidRDefault="00952A6E" w:rsidP="00952A6E">
            <w:pPr>
              <w:pStyle w:val="Numbertablecolumnheading-centered"/>
            </w:pPr>
            <w:r w:rsidRPr="00830976">
              <w:t>4</w:t>
            </w:r>
          </w:p>
        </w:tc>
        <w:tc>
          <w:tcPr>
            <w:tcW w:w="679" w:type="pct"/>
            <w:tcBorders>
              <w:top w:val="nil"/>
              <w:left w:val="nil"/>
              <w:bottom w:val="nil"/>
              <w:right w:val="single" w:sz="4" w:space="0" w:color="auto"/>
            </w:tcBorders>
          </w:tcPr>
          <w:p w14:paraId="40CBE554" w14:textId="37FE9AA5" w:rsidR="00952A6E" w:rsidRPr="00830976" w:rsidRDefault="00952A6E" w:rsidP="00952A6E">
            <w:pPr>
              <w:pStyle w:val="Numbertablecolumnheading-centered"/>
            </w:pPr>
            <w:r w:rsidRPr="00830976">
              <w:t>79,000</w:t>
            </w:r>
          </w:p>
        </w:tc>
      </w:tr>
      <w:tr w:rsidR="00952A6E" w14:paraId="4C159B5F" w14:textId="77777777" w:rsidTr="00D53460">
        <w:trPr>
          <w:trHeight w:val="284"/>
        </w:trPr>
        <w:tc>
          <w:tcPr>
            <w:tcW w:w="1013" w:type="pct"/>
            <w:tcBorders>
              <w:top w:val="nil"/>
              <w:left w:val="single" w:sz="4" w:space="0" w:color="auto"/>
              <w:bottom w:val="nil"/>
              <w:right w:val="nil"/>
            </w:tcBorders>
          </w:tcPr>
          <w:p w14:paraId="4DA5AFF9" w14:textId="2156BAB8" w:rsidR="00952A6E" w:rsidRDefault="00952A6E" w:rsidP="00952A6E">
            <w:pPr>
              <w:pStyle w:val="Numbertablecolumnheading-leftaligned"/>
            </w:pPr>
            <w:r>
              <w:t>Mental health</w:t>
            </w:r>
          </w:p>
        </w:tc>
        <w:tc>
          <w:tcPr>
            <w:tcW w:w="635" w:type="pct"/>
            <w:tcBorders>
              <w:top w:val="nil"/>
              <w:left w:val="nil"/>
              <w:bottom w:val="nil"/>
              <w:right w:val="nil"/>
            </w:tcBorders>
          </w:tcPr>
          <w:p w14:paraId="685CC84F" w14:textId="1745DA92" w:rsidR="00952A6E" w:rsidRPr="00830976" w:rsidRDefault="00952A6E" w:rsidP="00952A6E">
            <w:pPr>
              <w:pStyle w:val="Numbertablecolumnheading-centered"/>
            </w:pPr>
            <w:r w:rsidRPr="00830976">
              <w:t>3</w:t>
            </w:r>
          </w:p>
        </w:tc>
        <w:tc>
          <w:tcPr>
            <w:tcW w:w="693" w:type="pct"/>
            <w:tcBorders>
              <w:top w:val="nil"/>
              <w:left w:val="nil"/>
              <w:bottom w:val="nil"/>
              <w:right w:val="nil"/>
            </w:tcBorders>
          </w:tcPr>
          <w:p w14:paraId="4A7D6B45" w14:textId="6DDECF94" w:rsidR="00952A6E" w:rsidRPr="00830976" w:rsidRDefault="00952A6E" w:rsidP="00952A6E">
            <w:pPr>
              <w:pStyle w:val="Numbertablecolumnheading-centered"/>
            </w:pPr>
            <w:r w:rsidRPr="00830976">
              <w:t>135,000</w:t>
            </w:r>
          </w:p>
        </w:tc>
        <w:tc>
          <w:tcPr>
            <w:tcW w:w="644" w:type="pct"/>
            <w:tcBorders>
              <w:top w:val="nil"/>
              <w:left w:val="nil"/>
              <w:bottom w:val="nil"/>
              <w:right w:val="nil"/>
            </w:tcBorders>
          </w:tcPr>
          <w:p w14:paraId="48891779" w14:textId="17CE57FB" w:rsidR="00952A6E" w:rsidRPr="00830976" w:rsidRDefault="00952A6E" w:rsidP="00952A6E">
            <w:pPr>
              <w:pStyle w:val="Numbertablecolumnheading-centered"/>
            </w:pPr>
            <w:r w:rsidRPr="00830976">
              <w:t>2</w:t>
            </w:r>
          </w:p>
        </w:tc>
        <w:tc>
          <w:tcPr>
            <w:tcW w:w="684" w:type="pct"/>
            <w:tcBorders>
              <w:top w:val="nil"/>
              <w:left w:val="nil"/>
              <w:bottom w:val="nil"/>
              <w:right w:val="nil"/>
            </w:tcBorders>
          </w:tcPr>
          <w:p w14:paraId="4E565BE4" w14:textId="6211EB5C" w:rsidR="00952A6E" w:rsidRPr="00830976" w:rsidRDefault="00952A6E" w:rsidP="00952A6E">
            <w:pPr>
              <w:pStyle w:val="Numbertablecolumnheading-centered"/>
            </w:pPr>
            <w:r w:rsidRPr="00830976">
              <w:t>51,000</w:t>
            </w:r>
          </w:p>
        </w:tc>
        <w:tc>
          <w:tcPr>
            <w:tcW w:w="652" w:type="pct"/>
            <w:tcBorders>
              <w:top w:val="nil"/>
              <w:left w:val="nil"/>
              <w:bottom w:val="nil"/>
              <w:right w:val="nil"/>
            </w:tcBorders>
          </w:tcPr>
          <w:p w14:paraId="621018FC" w14:textId="647F0495" w:rsidR="00952A6E" w:rsidRPr="00830976" w:rsidRDefault="00952A6E" w:rsidP="00952A6E">
            <w:pPr>
              <w:pStyle w:val="Numbertablecolumnheading-centered"/>
            </w:pPr>
            <w:r w:rsidRPr="00830976">
              <w:t>4</w:t>
            </w:r>
          </w:p>
        </w:tc>
        <w:tc>
          <w:tcPr>
            <w:tcW w:w="679" w:type="pct"/>
            <w:tcBorders>
              <w:top w:val="nil"/>
              <w:left w:val="nil"/>
              <w:bottom w:val="nil"/>
              <w:right w:val="single" w:sz="4" w:space="0" w:color="auto"/>
            </w:tcBorders>
          </w:tcPr>
          <w:p w14:paraId="1E9B6F9D" w14:textId="77DFB200" w:rsidR="00952A6E" w:rsidRPr="00830976" w:rsidRDefault="00952A6E" w:rsidP="00952A6E">
            <w:pPr>
              <w:pStyle w:val="Numbertablecolumnheading-centered"/>
            </w:pPr>
            <w:r w:rsidRPr="00830976">
              <w:t>80,000</w:t>
            </w:r>
          </w:p>
        </w:tc>
      </w:tr>
      <w:tr w:rsidR="00952A6E" w14:paraId="2AE9DDDB" w14:textId="77777777" w:rsidTr="00D53460">
        <w:trPr>
          <w:trHeight w:val="284"/>
        </w:trPr>
        <w:tc>
          <w:tcPr>
            <w:tcW w:w="1013" w:type="pct"/>
            <w:tcBorders>
              <w:top w:val="nil"/>
              <w:left w:val="single" w:sz="4" w:space="0" w:color="auto"/>
              <w:bottom w:val="nil"/>
              <w:right w:val="nil"/>
            </w:tcBorders>
          </w:tcPr>
          <w:p w14:paraId="125CD35F" w14:textId="3A7E225C" w:rsidR="00952A6E" w:rsidRPr="00BB1E87" w:rsidRDefault="00952A6E" w:rsidP="00952A6E">
            <w:pPr>
              <w:pStyle w:val="Numbertablecolumnheading-leftaligned"/>
            </w:pPr>
            <w:r>
              <w:t>Fatigue</w:t>
            </w:r>
          </w:p>
        </w:tc>
        <w:tc>
          <w:tcPr>
            <w:tcW w:w="635" w:type="pct"/>
            <w:tcBorders>
              <w:top w:val="nil"/>
              <w:left w:val="nil"/>
              <w:bottom w:val="nil"/>
              <w:right w:val="nil"/>
            </w:tcBorders>
          </w:tcPr>
          <w:p w14:paraId="0E25AFB8" w14:textId="13F8F3D3" w:rsidR="00952A6E" w:rsidRPr="008C60EC" w:rsidRDefault="00952A6E" w:rsidP="00952A6E">
            <w:pPr>
              <w:pStyle w:val="Numbertablecolumnheading-centered"/>
            </w:pPr>
            <w:r w:rsidRPr="00830976">
              <w:t>2</w:t>
            </w:r>
          </w:p>
        </w:tc>
        <w:tc>
          <w:tcPr>
            <w:tcW w:w="693" w:type="pct"/>
            <w:tcBorders>
              <w:top w:val="nil"/>
              <w:left w:val="nil"/>
              <w:bottom w:val="nil"/>
              <w:right w:val="nil"/>
            </w:tcBorders>
          </w:tcPr>
          <w:p w14:paraId="56D2CEE7" w14:textId="50AE954E" w:rsidR="00952A6E" w:rsidRPr="008C60EC" w:rsidRDefault="00952A6E" w:rsidP="00952A6E">
            <w:pPr>
              <w:pStyle w:val="Numbertablecolumnheading-centered"/>
            </w:pPr>
            <w:r w:rsidRPr="00830976">
              <w:t>90,000</w:t>
            </w:r>
          </w:p>
        </w:tc>
        <w:tc>
          <w:tcPr>
            <w:tcW w:w="644" w:type="pct"/>
            <w:tcBorders>
              <w:top w:val="nil"/>
              <w:left w:val="nil"/>
              <w:bottom w:val="nil"/>
              <w:right w:val="nil"/>
            </w:tcBorders>
          </w:tcPr>
          <w:p w14:paraId="7058626F" w14:textId="54A2BF41" w:rsidR="00952A6E" w:rsidRPr="008C60EC" w:rsidRDefault="00952A6E" w:rsidP="00952A6E">
            <w:pPr>
              <w:pStyle w:val="Numbertablecolumnheading-centered"/>
            </w:pPr>
            <w:r w:rsidRPr="00830976">
              <w:t>2</w:t>
            </w:r>
          </w:p>
        </w:tc>
        <w:tc>
          <w:tcPr>
            <w:tcW w:w="684" w:type="pct"/>
            <w:tcBorders>
              <w:top w:val="nil"/>
              <w:left w:val="nil"/>
              <w:bottom w:val="nil"/>
              <w:right w:val="nil"/>
            </w:tcBorders>
          </w:tcPr>
          <w:p w14:paraId="09C53975" w14:textId="02900C5D" w:rsidR="00952A6E" w:rsidRPr="008C60EC" w:rsidRDefault="00952A6E" w:rsidP="00952A6E">
            <w:pPr>
              <w:pStyle w:val="Numbertablecolumnheading-centered"/>
            </w:pPr>
            <w:r w:rsidRPr="00830976">
              <w:t>31,000</w:t>
            </w:r>
          </w:p>
        </w:tc>
        <w:tc>
          <w:tcPr>
            <w:tcW w:w="652" w:type="pct"/>
            <w:tcBorders>
              <w:top w:val="nil"/>
              <w:left w:val="nil"/>
              <w:bottom w:val="nil"/>
              <w:right w:val="nil"/>
            </w:tcBorders>
          </w:tcPr>
          <w:p w14:paraId="6E39FE2A" w14:textId="6B3706E7" w:rsidR="00952A6E" w:rsidRPr="008C60EC" w:rsidRDefault="00952A6E" w:rsidP="00952A6E">
            <w:pPr>
              <w:pStyle w:val="Numbertablecolumnheading-centered"/>
            </w:pPr>
            <w:r w:rsidRPr="00830976">
              <w:t>3</w:t>
            </w:r>
          </w:p>
        </w:tc>
        <w:tc>
          <w:tcPr>
            <w:tcW w:w="679" w:type="pct"/>
            <w:tcBorders>
              <w:top w:val="nil"/>
              <w:left w:val="nil"/>
              <w:bottom w:val="nil"/>
              <w:right w:val="single" w:sz="4" w:space="0" w:color="auto"/>
            </w:tcBorders>
          </w:tcPr>
          <w:p w14:paraId="41D88818" w14:textId="3910B1D3" w:rsidR="00952A6E" w:rsidRPr="008C60EC" w:rsidRDefault="00952A6E" w:rsidP="00952A6E">
            <w:pPr>
              <w:pStyle w:val="Numbertablecolumnheading-centered"/>
            </w:pPr>
            <w:r w:rsidRPr="00830976">
              <w:t>58,000</w:t>
            </w:r>
          </w:p>
        </w:tc>
      </w:tr>
      <w:tr w:rsidR="00952A6E" w14:paraId="5C37D92E" w14:textId="77777777" w:rsidTr="00D53460">
        <w:trPr>
          <w:trHeight w:val="284"/>
        </w:trPr>
        <w:tc>
          <w:tcPr>
            <w:tcW w:w="1013" w:type="pct"/>
            <w:tcBorders>
              <w:top w:val="nil"/>
              <w:left w:val="single" w:sz="4" w:space="0" w:color="auto"/>
              <w:bottom w:val="nil"/>
              <w:right w:val="nil"/>
            </w:tcBorders>
          </w:tcPr>
          <w:p w14:paraId="5DAA870F" w14:textId="54E7C7B3" w:rsidR="00952A6E" w:rsidRPr="00884064" w:rsidRDefault="00952A6E" w:rsidP="00952A6E">
            <w:pPr>
              <w:pStyle w:val="Numbertablecolumnheading-leftaligned"/>
            </w:pPr>
            <w:r>
              <w:t xml:space="preserve">Cognition </w:t>
            </w:r>
          </w:p>
        </w:tc>
        <w:tc>
          <w:tcPr>
            <w:tcW w:w="635" w:type="pct"/>
            <w:tcBorders>
              <w:top w:val="nil"/>
              <w:left w:val="nil"/>
              <w:bottom w:val="nil"/>
              <w:right w:val="nil"/>
            </w:tcBorders>
          </w:tcPr>
          <w:p w14:paraId="720C3A50" w14:textId="664E7F85" w:rsidR="00952A6E" w:rsidRPr="00C11E00" w:rsidRDefault="00952A6E" w:rsidP="00952A6E">
            <w:pPr>
              <w:pStyle w:val="Numbertablecolumnheading-centered"/>
            </w:pPr>
            <w:r w:rsidRPr="00830976">
              <w:t>4</w:t>
            </w:r>
          </w:p>
        </w:tc>
        <w:tc>
          <w:tcPr>
            <w:tcW w:w="693" w:type="pct"/>
            <w:tcBorders>
              <w:top w:val="nil"/>
              <w:left w:val="nil"/>
              <w:bottom w:val="nil"/>
              <w:right w:val="nil"/>
            </w:tcBorders>
          </w:tcPr>
          <w:p w14:paraId="5A261688" w14:textId="6C7F0EAB" w:rsidR="00952A6E" w:rsidRPr="00C11E00" w:rsidRDefault="00952A6E" w:rsidP="00952A6E">
            <w:pPr>
              <w:pStyle w:val="Numbertablecolumnheading-centered"/>
            </w:pPr>
            <w:r w:rsidRPr="00830976">
              <w:t>170,000</w:t>
            </w:r>
          </w:p>
        </w:tc>
        <w:tc>
          <w:tcPr>
            <w:tcW w:w="644" w:type="pct"/>
            <w:tcBorders>
              <w:top w:val="nil"/>
              <w:left w:val="nil"/>
              <w:bottom w:val="nil"/>
              <w:right w:val="nil"/>
            </w:tcBorders>
          </w:tcPr>
          <w:p w14:paraId="023B48D6" w14:textId="6162B1E7" w:rsidR="00952A6E" w:rsidRPr="00C11E00" w:rsidRDefault="00952A6E" w:rsidP="00952A6E">
            <w:pPr>
              <w:pStyle w:val="Numbertablecolumnheading-centered"/>
            </w:pPr>
            <w:r w:rsidRPr="00830976">
              <w:t>4</w:t>
            </w:r>
          </w:p>
        </w:tc>
        <w:tc>
          <w:tcPr>
            <w:tcW w:w="684" w:type="pct"/>
            <w:tcBorders>
              <w:top w:val="nil"/>
              <w:left w:val="nil"/>
              <w:bottom w:val="nil"/>
              <w:right w:val="nil"/>
            </w:tcBorders>
          </w:tcPr>
          <w:p w14:paraId="3765DCA9" w14:textId="224FC775" w:rsidR="00952A6E" w:rsidRPr="00C11E00" w:rsidRDefault="00952A6E" w:rsidP="00952A6E">
            <w:pPr>
              <w:pStyle w:val="Numbertablecolumnheading-centered"/>
            </w:pPr>
            <w:r w:rsidRPr="00830976">
              <w:t>77,000</w:t>
            </w:r>
          </w:p>
        </w:tc>
        <w:tc>
          <w:tcPr>
            <w:tcW w:w="652" w:type="pct"/>
            <w:tcBorders>
              <w:top w:val="nil"/>
              <w:left w:val="nil"/>
              <w:bottom w:val="nil"/>
              <w:right w:val="nil"/>
            </w:tcBorders>
          </w:tcPr>
          <w:p w14:paraId="59CF0B99" w14:textId="69A3937E" w:rsidR="00952A6E" w:rsidRPr="00C11E00" w:rsidRDefault="00952A6E" w:rsidP="00952A6E">
            <w:pPr>
              <w:pStyle w:val="Numbertablecolumnheading-centered"/>
            </w:pPr>
            <w:r w:rsidRPr="00830976">
              <w:t>4</w:t>
            </w:r>
          </w:p>
        </w:tc>
        <w:tc>
          <w:tcPr>
            <w:tcW w:w="679" w:type="pct"/>
            <w:tcBorders>
              <w:top w:val="nil"/>
              <w:left w:val="nil"/>
              <w:bottom w:val="nil"/>
              <w:right w:val="single" w:sz="4" w:space="0" w:color="auto"/>
            </w:tcBorders>
          </w:tcPr>
          <w:p w14:paraId="76FCD302" w14:textId="435E2742" w:rsidR="00952A6E" w:rsidRPr="00C11E00" w:rsidRDefault="00952A6E" w:rsidP="00952A6E">
            <w:pPr>
              <w:pStyle w:val="Numbertablecolumnheading-centered"/>
            </w:pPr>
            <w:r w:rsidRPr="00830976">
              <w:t>89,000</w:t>
            </w:r>
          </w:p>
        </w:tc>
      </w:tr>
      <w:tr w:rsidR="00952A6E" w14:paraId="6538FC4B" w14:textId="77777777" w:rsidTr="00D53460">
        <w:trPr>
          <w:trHeight w:val="284"/>
        </w:trPr>
        <w:tc>
          <w:tcPr>
            <w:tcW w:w="1013" w:type="pct"/>
            <w:tcBorders>
              <w:top w:val="nil"/>
              <w:left w:val="single" w:sz="4" w:space="0" w:color="auto"/>
              <w:bottom w:val="nil"/>
              <w:right w:val="nil"/>
            </w:tcBorders>
          </w:tcPr>
          <w:p w14:paraId="6F730872" w14:textId="07AA83E0" w:rsidR="00952A6E" w:rsidRDefault="00952A6E" w:rsidP="00952A6E">
            <w:pPr>
              <w:pStyle w:val="Numbertablecolumnheading-leftaligned"/>
            </w:pPr>
            <w:r>
              <w:t>Socialising</w:t>
            </w:r>
          </w:p>
        </w:tc>
        <w:tc>
          <w:tcPr>
            <w:tcW w:w="635" w:type="pct"/>
            <w:tcBorders>
              <w:top w:val="nil"/>
              <w:left w:val="nil"/>
              <w:bottom w:val="nil"/>
              <w:right w:val="nil"/>
            </w:tcBorders>
          </w:tcPr>
          <w:p w14:paraId="2B180257" w14:textId="3391D76E" w:rsidR="00952A6E" w:rsidRPr="00830976" w:rsidRDefault="00952A6E" w:rsidP="00952A6E">
            <w:pPr>
              <w:pStyle w:val="Numbertablecolumnheading-centered"/>
            </w:pPr>
            <w:r w:rsidRPr="00830976">
              <w:t>3</w:t>
            </w:r>
          </w:p>
        </w:tc>
        <w:tc>
          <w:tcPr>
            <w:tcW w:w="693" w:type="pct"/>
            <w:tcBorders>
              <w:top w:val="nil"/>
              <w:left w:val="nil"/>
              <w:bottom w:val="nil"/>
              <w:right w:val="nil"/>
            </w:tcBorders>
          </w:tcPr>
          <w:p w14:paraId="531E8012" w14:textId="7D02737E" w:rsidR="00952A6E" w:rsidRPr="00830976" w:rsidRDefault="00952A6E" w:rsidP="00952A6E">
            <w:pPr>
              <w:pStyle w:val="Numbertablecolumnheading-centered"/>
            </w:pPr>
            <w:r w:rsidRPr="00830976">
              <w:t>117,000</w:t>
            </w:r>
          </w:p>
        </w:tc>
        <w:tc>
          <w:tcPr>
            <w:tcW w:w="644" w:type="pct"/>
            <w:tcBorders>
              <w:top w:val="nil"/>
              <w:left w:val="nil"/>
              <w:bottom w:val="nil"/>
              <w:right w:val="nil"/>
            </w:tcBorders>
          </w:tcPr>
          <w:p w14:paraId="542422C8" w14:textId="6215B57D" w:rsidR="00952A6E" w:rsidRPr="00830976" w:rsidRDefault="00952A6E" w:rsidP="00952A6E">
            <w:pPr>
              <w:pStyle w:val="Numbertablecolumnheading-centered"/>
            </w:pPr>
            <w:r w:rsidRPr="00830976">
              <w:t>3</w:t>
            </w:r>
          </w:p>
        </w:tc>
        <w:tc>
          <w:tcPr>
            <w:tcW w:w="684" w:type="pct"/>
            <w:tcBorders>
              <w:top w:val="nil"/>
              <w:left w:val="nil"/>
              <w:bottom w:val="nil"/>
              <w:right w:val="nil"/>
            </w:tcBorders>
          </w:tcPr>
          <w:p w14:paraId="0957303F" w14:textId="75E05B0B" w:rsidR="00952A6E" w:rsidRPr="00830976" w:rsidRDefault="00952A6E" w:rsidP="00952A6E">
            <w:pPr>
              <w:pStyle w:val="Numbertablecolumnheading-centered"/>
            </w:pPr>
            <w:r w:rsidRPr="00830976">
              <w:t>51,000</w:t>
            </w:r>
          </w:p>
        </w:tc>
        <w:tc>
          <w:tcPr>
            <w:tcW w:w="652" w:type="pct"/>
            <w:tcBorders>
              <w:top w:val="nil"/>
              <w:left w:val="nil"/>
              <w:bottom w:val="nil"/>
              <w:right w:val="nil"/>
            </w:tcBorders>
          </w:tcPr>
          <w:p w14:paraId="70E28F57" w14:textId="3B119EA5" w:rsidR="00952A6E" w:rsidRPr="00830976" w:rsidRDefault="00952A6E" w:rsidP="00952A6E">
            <w:pPr>
              <w:pStyle w:val="Numbertablecolumnheading-centered"/>
            </w:pPr>
            <w:r w:rsidRPr="00830976">
              <w:t>3</w:t>
            </w:r>
          </w:p>
        </w:tc>
        <w:tc>
          <w:tcPr>
            <w:tcW w:w="679" w:type="pct"/>
            <w:tcBorders>
              <w:top w:val="nil"/>
              <w:left w:val="nil"/>
              <w:bottom w:val="nil"/>
              <w:right w:val="single" w:sz="4" w:space="0" w:color="auto"/>
            </w:tcBorders>
          </w:tcPr>
          <w:p w14:paraId="3EA1EE1F" w14:textId="2DFFFE47" w:rsidR="00952A6E" w:rsidRPr="00830976" w:rsidRDefault="00952A6E" w:rsidP="00952A6E">
            <w:pPr>
              <w:pStyle w:val="Numbertablecolumnheading-centered"/>
            </w:pPr>
            <w:r w:rsidRPr="00830976">
              <w:t>61,000</w:t>
            </w:r>
          </w:p>
        </w:tc>
      </w:tr>
      <w:tr w:rsidR="00952A6E" w14:paraId="4DA34B2A" w14:textId="77777777" w:rsidTr="00D53460">
        <w:trPr>
          <w:trHeight w:val="284"/>
        </w:trPr>
        <w:tc>
          <w:tcPr>
            <w:tcW w:w="1013" w:type="pct"/>
            <w:tcBorders>
              <w:top w:val="nil"/>
              <w:left w:val="single" w:sz="4" w:space="0" w:color="auto"/>
              <w:bottom w:val="nil"/>
              <w:right w:val="nil"/>
            </w:tcBorders>
          </w:tcPr>
          <w:p w14:paraId="65939173" w14:textId="7AB641FC" w:rsidR="00952A6E" w:rsidRPr="00884064" w:rsidRDefault="00952A6E" w:rsidP="00952A6E">
            <w:pPr>
              <w:pStyle w:val="Numbertablecolumnheading-leftaligned"/>
            </w:pPr>
            <w:r>
              <w:t>Other</w:t>
            </w:r>
          </w:p>
        </w:tc>
        <w:tc>
          <w:tcPr>
            <w:tcW w:w="635" w:type="pct"/>
            <w:tcBorders>
              <w:top w:val="nil"/>
              <w:left w:val="nil"/>
              <w:bottom w:val="nil"/>
              <w:right w:val="nil"/>
            </w:tcBorders>
          </w:tcPr>
          <w:p w14:paraId="693FDD83" w14:textId="0E14EAB1" w:rsidR="00952A6E" w:rsidRPr="00C11E00" w:rsidRDefault="00952A6E" w:rsidP="00952A6E">
            <w:pPr>
              <w:pStyle w:val="Numbertablecolumnheading-centered"/>
            </w:pPr>
            <w:r w:rsidRPr="00830976">
              <w:t>3</w:t>
            </w:r>
          </w:p>
        </w:tc>
        <w:tc>
          <w:tcPr>
            <w:tcW w:w="693" w:type="pct"/>
            <w:tcBorders>
              <w:top w:val="nil"/>
              <w:left w:val="nil"/>
              <w:bottom w:val="nil"/>
              <w:right w:val="nil"/>
            </w:tcBorders>
          </w:tcPr>
          <w:p w14:paraId="5221EAA4" w14:textId="537C485D" w:rsidR="00952A6E" w:rsidRPr="00C11E00" w:rsidRDefault="00952A6E" w:rsidP="00952A6E">
            <w:pPr>
              <w:pStyle w:val="Numbertablecolumnheading-centered"/>
            </w:pPr>
            <w:r w:rsidRPr="00830976">
              <w:t>106,000</w:t>
            </w:r>
          </w:p>
        </w:tc>
        <w:tc>
          <w:tcPr>
            <w:tcW w:w="644" w:type="pct"/>
            <w:tcBorders>
              <w:top w:val="nil"/>
              <w:left w:val="nil"/>
              <w:bottom w:val="nil"/>
              <w:right w:val="nil"/>
            </w:tcBorders>
          </w:tcPr>
          <w:p w14:paraId="7A337FAC" w14:textId="61F0FD3C" w:rsidR="00952A6E" w:rsidRPr="00C11E00" w:rsidRDefault="00952A6E" w:rsidP="00952A6E">
            <w:pPr>
              <w:pStyle w:val="Numbertablecolumnheading-centered"/>
            </w:pPr>
            <w:r w:rsidRPr="00830976">
              <w:t>3</w:t>
            </w:r>
          </w:p>
        </w:tc>
        <w:tc>
          <w:tcPr>
            <w:tcW w:w="684" w:type="pct"/>
            <w:tcBorders>
              <w:top w:val="nil"/>
              <w:left w:val="nil"/>
              <w:bottom w:val="nil"/>
              <w:right w:val="nil"/>
            </w:tcBorders>
          </w:tcPr>
          <w:p w14:paraId="24B5F17B" w14:textId="752FE4C0" w:rsidR="00952A6E" w:rsidRPr="00C11E00" w:rsidRDefault="00952A6E" w:rsidP="00952A6E">
            <w:pPr>
              <w:pStyle w:val="Numbertablecolumnheading-centered"/>
            </w:pPr>
            <w:r w:rsidRPr="00830976">
              <w:t>53,000</w:t>
            </w:r>
          </w:p>
        </w:tc>
        <w:tc>
          <w:tcPr>
            <w:tcW w:w="652" w:type="pct"/>
            <w:tcBorders>
              <w:top w:val="nil"/>
              <w:left w:val="nil"/>
              <w:bottom w:val="nil"/>
              <w:right w:val="nil"/>
            </w:tcBorders>
          </w:tcPr>
          <w:p w14:paraId="72FDC93B" w14:textId="4967808D" w:rsidR="00952A6E" w:rsidRPr="00C11E00" w:rsidRDefault="00952A6E" w:rsidP="00952A6E">
            <w:pPr>
              <w:pStyle w:val="Numbertablecolumnheading-centered"/>
            </w:pPr>
            <w:r w:rsidRPr="00830976">
              <w:t>2</w:t>
            </w:r>
          </w:p>
        </w:tc>
        <w:tc>
          <w:tcPr>
            <w:tcW w:w="679" w:type="pct"/>
            <w:tcBorders>
              <w:top w:val="nil"/>
              <w:left w:val="nil"/>
              <w:bottom w:val="nil"/>
              <w:right w:val="single" w:sz="4" w:space="0" w:color="auto"/>
            </w:tcBorders>
          </w:tcPr>
          <w:p w14:paraId="0D1DDC90" w14:textId="22BB8328" w:rsidR="00952A6E" w:rsidRPr="00C11E00" w:rsidRDefault="00952A6E" w:rsidP="00952A6E">
            <w:pPr>
              <w:pStyle w:val="Numbertablecolumnheading-centered"/>
            </w:pPr>
            <w:r w:rsidRPr="00830976">
              <w:t>52,000</w:t>
            </w:r>
          </w:p>
        </w:tc>
      </w:tr>
      <w:tr w:rsidR="00952A6E" w14:paraId="38345F77" w14:textId="77777777" w:rsidTr="00D53460">
        <w:trPr>
          <w:trHeight w:val="284"/>
        </w:trPr>
        <w:tc>
          <w:tcPr>
            <w:tcW w:w="1013" w:type="pct"/>
            <w:tcBorders>
              <w:top w:val="nil"/>
              <w:left w:val="single" w:sz="4" w:space="0" w:color="auto"/>
              <w:bottom w:val="single" w:sz="4" w:space="0" w:color="auto"/>
              <w:right w:val="nil"/>
            </w:tcBorders>
          </w:tcPr>
          <w:p w14:paraId="68F0EBEE" w14:textId="18ECC093" w:rsidR="00952A6E" w:rsidRPr="00BB1E87" w:rsidRDefault="00952A6E" w:rsidP="00952A6E">
            <w:pPr>
              <w:pStyle w:val="Numbertablecolumnheading-leftaligned"/>
            </w:pPr>
            <w:r w:rsidRPr="00884064">
              <w:t>Total</w:t>
            </w:r>
            <w:r>
              <w:t xml:space="preserve"> </w:t>
            </w:r>
          </w:p>
        </w:tc>
        <w:tc>
          <w:tcPr>
            <w:tcW w:w="635" w:type="pct"/>
            <w:tcBorders>
              <w:top w:val="nil"/>
              <w:left w:val="nil"/>
              <w:bottom w:val="single" w:sz="4" w:space="0" w:color="auto"/>
              <w:right w:val="nil"/>
            </w:tcBorders>
          </w:tcPr>
          <w:p w14:paraId="7D97ED56" w14:textId="2B87A8A1" w:rsidR="00952A6E" w:rsidRPr="008C60EC" w:rsidRDefault="00952A6E" w:rsidP="00952A6E">
            <w:pPr>
              <w:pStyle w:val="Numbertablecolumnheading-centered"/>
            </w:pPr>
            <w:r w:rsidRPr="00830976">
              <w:t>18</w:t>
            </w:r>
          </w:p>
        </w:tc>
        <w:tc>
          <w:tcPr>
            <w:tcW w:w="693" w:type="pct"/>
            <w:tcBorders>
              <w:top w:val="nil"/>
              <w:left w:val="nil"/>
              <w:bottom w:val="single" w:sz="4" w:space="0" w:color="auto"/>
              <w:right w:val="nil"/>
            </w:tcBorders>
          </w:tcPr>
          <w:p w14:paraId="48790151" w14:textId="1FC2129D" w:rsidR="00952A6E" w:rsidRPr="008C60EC" w:rsidRDefault="00952A6E" w:rsidP="00952A6E">
            <w:pPr>
              <w:pStyle w:val="Numbertablecolumnheading-centered"/>
            </w:pPr>
            <w:r w:rsidRPr="00830976">
              <w:t>753,000</w:t>
            </w:r>
          </w:p>
        </w:tc>
        <w:tc>
          <w:tcPr>
            <w:tcW w:w="644" w:type="pct"/>
            <w:tcBorders>
              <w:top w:val="nil"/>
              <w:left w:val="nil"/>
              <w:bottom w:val="single" w:sz="4" w:space="0" w:color="auto"/>
              <w:right w:val="nil"/>
            </w:tcBorders>
          </w:tcPr>
          <w:p w14:paraId="65344AAE" w14:textId="00301D7E" w:rsidR="00952A6E" w:rsidRPr="008C60EC" w:rsidRDefault="00952A6E" w:rsidP="00952A6E">
            <w:pPr>
              <w:pStyle w:val="Numbertablecolumnheading-centered"/>
            </w:pPr>
            <w:r w:rsidRPr="00830976">
              <w:t>15</w:t>
            </w:r>
          </w:p>
        </w:tc>
        <w:tc>
          <w:tcPr>
            <w:tcW w:w="684" w:type="pct"/>
            <w:tcBorders>
              <w:top w:val="nil"/>
              <w:left w:val="nil"/>
              <w:bottom w:val="single" w:sz="4" w:space="0" w:color="auto"/>
              <w:right w:val="nil"/>
            </w:tcBorders>
          </w:tcPr>
          <w:p w14:paraId="2221CF47" w14:textId="758C7B85" w:rsidR="00952A6E" w:rsidRPr="008C60EC" w:rsidRDefault="00952A6E" w:rsidP="00952A6E">
            <w:pPr>
              <w:pStyle w:val="Numbertablecolumnheading-centered"/>
            </w:pPr>
            <w:r w:rsidRPr="00830976">
              <w:t>316,000</w:t>
            </w:r>
          </w:p>
        </w:tc>
        <w:tc>
          <w:tcPr>
            <w:tcW w:w="652" w:type="pct"/>
            <w:tcBorders>
              <w:top w:val="nil"/>
              <w:left w:val="nil"/>
              <w:bottom w:val="single" w:sz="4" w:space="0" w:color="auto"/>
              <w:right w:val="nil"/>
            </w:tcBorders>
          </w:tcPr>
          <w:p w14:paraId="06199703" w14:textId="454A3FE7" w:rsidR="00952A6E" w:rsidRPr="008C60EC" w:rsidRDefault="00952A6E" w:rsidP="00952A6E">
            <w:pPr>
              <w:pStyle w:val="Numbertablecolumnheading-centered"/>
            </w:pPr>
            <w:r w:rsidRPr="00830976">
              <w:t>2</w:t>
            </w:r>
            <w:r>
              <w:t>0</w:t>
            </w:r>
          </w:p>
        </w:tc>
        <w:tc>
          <w:tcPr>
            <w:tcW w:w="679" w:type="pct"/>
            <w:tcBorders>
              <w:top w:val="nil"/>
              <w:left w:val="nil"/>
              <w:bottom w:val="single" w:sz="4" w:space="0" w:color="auto"/>
              <w:right w:val="single" w:sz="4" w:space="0" w:color="auto"/>
            </w:tcBorders>
          </w:tcPr>
          <w:p w14:paraId="1EC2F4C1" w14:textId="5D64BB0B" w:rsidR="00952A6E" w:rsidRPr="008C60EC" w:rsidRDefault="00952A6E" w:rsidP="00952A6E">
            <w:pPr>
              <w:pStyle w:val="Numbertablecolumnheading-centered"/>
            </w:pPr>
            <w:r w:rsidRPr="00830976">
              <w:t>429,000</w:t>
            </w:r>
          </w:p>
        </w:tc>
      </w:tr>
      <w:tr w:rsidR="00952A6E" w14:paraId="124A333F" w14:textId="77777777" w:rsidTr="00D53460">
        <w:trPr>
          <w:trHeight w:val="284"/>
        </w:trPr>
        <w:tc>
          <w:tcPr>
            <w:tcW w:w="5000" w:type="pct"/>
            <w:gridSpan w:val="7"/>
            <w:tcBorders>
              <w:top w:val="single" w:sz="4" w:space="0" w:color="auto"/>
              <w:left w:val="single" w:sz="4" w:space="0" w:color="auto"/>
              <w:right w:val="single" w:sz="4" w:space="0" w:color="auto"/>
            </w:tcBorders>
            <w:vAlign w:val="center"/>
          </w:tcPr>
          <w:p w14:paraId="2D35F561" w14:textId="571F8918" w:rsidR="00952A6E" w:rsidRPr="00D37CD2" w:rsidRDefault="00E73F15" w:rsidP="00952A6E">
            <w:pPr>
              <w:pStyle w:val="Numbertablecolumnheading-centered"/>
              <w:jc w:val="left"/>
            </w:pPr>
            <w:r>
              <w:t>Adults</w:t>
            </w:r>
            <w:r w:rsidR="00952A6E" w:rsidRPr="00010257">
              <w:t xml:space="preserve"> </w:t>
            </w:r>
            <w:r w:rsidR="00952A6E">
              <w:t>with functional difficulties in more than one domain were counted in each</w:t>
            </w:r>
            <w:r w:rsidR="00952A6E" w:rsidRPr="00010257">
              <w:t>.</w:t>
            </w:r>
          </w:p>
          <w:p w14:paraId="223771DF" w14:textId="28757376" w:rsidR="00952A6E" w:rsidRDefault="00E73F15" w:rsidP="00952A6E">
            <w:pPr>
              <w:pStyle w:val="Numbertablecolumnheading-centered"/>
              <w:jc w:val="left"/>
            </w:pPr>
            <w:r>
              <w:t>Adults</w:t>
            </w:r>
            <w:r w:rsidR="00952A6E" w:rsidRPr="006B1F0D">
              <w:t xml:space="preserve"> with a gender other than male or female (including non-specified genders) are included in the total column</w:t>
            </w:r>
            <w:r w:rsidR="00952A6E">
              <w:t xml:space="preserve"> only</w:t>
            </w:r>
            <w:r w:rsidR="00952A6E" w:rsidRPr="006B1F0D">
              <w:t>.</w:t>
            </w:r>
          </w:p>
          <w:p w14:paraId="2CBA3186" w14:textId="123ABF35" w:rsidR="00CC438F" w:rsidRDefault="00E01F7C" w:rsidP="00952A6E">
            <w:pPr>
              <w:pStyle w:val="Numbertablecolumnheading-centered"/>
              <w:jc w:val="left"/>
            </w:pPr>
            <w:r>
              <w:t>D</w:t>
            </w:r>
            <w:r w:rsidR="00E579D8">
              <w:t>o</w:t>
            </w:r>
            <w:r w:rsidR="00416A43">
              <w:t xml:space="preserve">mains with significant </w:t>
            </w:r>
            <w:r w:rsidR="00B54919">
              <w:t>differences between men and women are listed</w:t>
            </w:r>
            <w:r w:rsidR="00770C16">
              <w:t xml:space="preserve"> </w:t>
            </w:r>
            <w:r w:rsidR="00310B2D">
              <w:t>first</w:t>
            </w:r>
            <w:r w:rsidR="006B6EA7">
              <w:t>,</w:t>
            </w:r>
            <w:r w:rsidR="00310B2D">
              <w:t xml:space="preserve"> </w:t>
            </w:r>
            <w:r w:rsidR="00EE01C8">
              <w:t>by total size</w:t>
            </w:r>
            <w:r w:rsidR="007D07CF">
              <w:t>.</w:t>
            </w:r>
            <w:r w:rsidR="003E5EBF">
              <w:t xml:space="preserve"> D</w:t>
            </w:r>
            <w:r w:rsidR="00B54919">
              <w:t xml:space="preserve">omains without significant </w:t>
            </w:r>
            <w:r w:rsidR="00CC438F">
              <w:t>difference</w:t>
            </w:r>
            <w:r w:rsidR="00310B2D">
              <w:t>s</w:t>
            </w:r>
            <w:r w:rsidR="00CC438F">
              <w:t xml:space="preserve"> between men and women </w:t>
            </w:r>
            <w:r w:rsidR="003E5EBF">
              <w:t>are list</w:t>
            </w:r>
            <w:r w:rsidR="00E9470A">
              <w:t>ed</w:t>
            </w:r>
            <w:r w:rsidR="003E5EBF">
              <w:t xml:space="preserve"> next, </w:t>
            </w:r>
            <w:r w:rsidR="007D017E">
              <w:t>also</w:t>
            </w:r>
            <w:r w:rsidR="007D017E" w:rsidDel="00E9470A">
              <w:t xml:space="preserve"> </w:t>
            </w:r>
            <w:r w:rsidR="007D017E">
              <w:t>by total</w:t>
            </w:r>
            <w:r w:rsidR="00310B2D">
              <w:t xml:space="preserve"> size</w:t>
            </w:r>
            <w:r w:rsidR="00CC438F">
              <w:t>.</w:t>
            </w:r>
          </w:p>
          <w:p w14:paraId="585A10FA" w14:textId="11618022" w:rsidR="00952A6E" w:rsidRPr="008C60EC" w:rsidRDefault="00952A6E" w:rsidP="00952A6E">
            <w:pPr>
              <w:pStyle w:val="Numbertablecolumnheading-centered"/>
              <w:jc w:val="left"/>
            </w:pPr>
            <w:r w:rsidRPr="4A07F070">
              <w:rPr>
                <w:b/>
              </w:rPr>
              <w:t>Source</w:t>
            </w:r>
            <w:r>
              <w:t>: Stats NZ</w:t>
            </w:r>
          </w:p>
        </w:tc>
      </w:tr>
    </w:tbl>
    <w:p w14:paraId="7FAC7320" w14:textId="5FE79DF9" w:rsidR="00C541A0" w:rsidRDefault="00C541A0" w:rsidP="00C541A0">
      <w:pPr>
        <w:pStyle w:val="Heading3"/>
      </w:pPr>
      <w:bookmarkStart w:id="118" w:name="_Toc187762882"/>
      <w:bookmarkStart w:id="119" w:name="_Toc187763843"/>
      <w:bookmarkStart w:id="120" w:name="_Toc190856846"/>
      <w:r>
        <w:t>5.1.2 By age group</w:t>
      </w:r>
      <w:bookmarkEnd w:id="118"/>
      <w:bookmarkEnd w:id="119"/>
      <w:bookmarkEnd w:id="120"/>
      <w:r>
        <w:t xml:space="preserve"> </w:t>
      </w:r>
    </w:p>
    <w:p w14:paraId="4C341FDC" w14:textId="4CFBE6D5" w:rsidR="00242C55" w:rsidRDefault="008B736E" w:rsidP="00C541A0">
      <w:r w:rsidRPr="008B736E">
        <w:t xml:space="preserve">The disability rate in the physical domain increased most with age. Sensory was also strongly linked with ageing. </w:t>
      </w:r>
      <w:r w:rsidR="00687F00">
        <w:t>Rates in the p</w:t>
      </w:r>
      <w:r w:rsidRPr="008B736E">
        <w:t>ain</w:t>
      </w:r>
      <w:r w:rsidR="00687F00">
        <w:t xml:space="preserve"> and ‘other’ domains</w:t>
      </w:r>
      <w:r w:rsidRPr="008B736E">
        <w:t xml:space="preserve"> </w:t>
      </w:r>
      <w:r w:rsidR="001D5C34">
        <w:t>were also higher for older adults (65+</w:t>
      </w:r>
      <w:r w:rsidR="00242C55">
        <w:t xml:space="preserve"> years</w:t>
      </w:r>
      <w:r w:rsidR="001D5C34">
        <w:t>) than younger adults (15</w:t>
      </w:r>
      <w:r w:rsidR="00CD68AA">
        <w:t xml:space="preserve"> to </w:t>
      </w:r>
      <w:r w:rsidR="001D5C34">
        <w:t>44</w:t>
      </w:r>
      <w:r w:rsidR="00242C55">
        <w:t xml:space="preserve"> years</w:t>
      </w:r>
      <w:r w:rsidR="001D5C34">
        <w:t>)</w:t>
      </w:r>
      <w:r w:rsidR="00610E23">
        <w:t>, although the</w:t>
      </w:r>
      <w:r w:rsidR="005B3D42">
        <w:t>se</w:t>
      </w:r>
      <w:r w:rsidR="002A18D2">
        <w:t xml:space="preserve"> increase</w:t>
      </w:r>
      <w:r w:rsidR="00242C55">
        <w:t>s</w:t>
      </w:r>
      <w:r w:rsidR="002A18D2">
        <w:t xml:space="preserve"> were not as </w:t>
      </w:r>
      <w:r w:rsidR="00242C55">
        <w:t>large</w:t>
      </w:r>
      <w:r w:rsidRPr="008B736E">
        <w:t>.</w:t>
      </w:r>
      <w:r w:rsidR="00A02E1C">
        <w:t xml:space="preserve"> </w:t>
      </w:r>
    </w:p>
    <w:p w14:paraId="1E24016C" w14:textId="4DE98297" w:rsidR="008B736E" w:rsidRDefault="008B736E" w:rsidP="00C541A0">
      <w:r w:rsidRPr="008B736E">
        <w:t xml:space="preserve">Disability in the mental </w:t>
      </w:r>
      <w:r w:rsidRPr="00AA6A14">
        <w:t xml:space="preserve">health </w:t>
      </w:r>
      <w:r w:rsidR="00122C9D" w:rsidRPr="00AA6A14">
        <w:t>and socialising</w:t>
      </w:r>
      <w:r w:rsidR="00122C9D">
        <w:t xml:space="preserve"> </w:t>
      </w:r>
      <w:r w:rsidRPr="008B736E">
        <w:t>domain</w:t>
      </w:r>
      <w:r w:rsidR="00122C9D">
        <w:t xml:space="preserve">s were </w:t>
      </w:r>
      <w:r w:rsidRPr="008B736E">
        <w:t>lower in older age</w:t>
      </w:r>
      <w:r w:rsidR="00BE3B0E">
        <w:t xml:space="preserve"> </w:t>
      </w:r>
      <w:r w:rsidRPr="008B736E">
        <w:t>groups.</w:t>
      </w:r>
      <w:r w:rsidR="00A02E1C">
        <w:t xml:space="preserve"> </w:t>
      </w:r>
      <w:r w:rsidRPr="008B736E">
        <w:t xml:space="preserve">For cognition and fatigue there was no evidence of a statistically significant difference between younger and older adults. </w:t>
      </w:r>
    </w:p>
    <w:p w14:paraId="31E3B40E" w14:textId="708EF928" w:rsidR="00172556" w:rsidRPr="00E6628C" w:rsidRDefault="00172556" w:rsidP="00172556">
      <w:pPr>
        <w:pStyle w:val="Figureandtablenumbers"/>
        <w:spacing w:before="0"/>
      </w:pPr>
      <w:r>
        <w:t>Table 1</w:t>
      </w:r>
      <w:r w:rsidR="008E4A93">
        <w:t>0</w:t>
      </w:r>
    </w:p>
    <w:p w14:paraId="077F5BCD" w14:textId="7558C1CE" w:rsidR="00172556" w:rsidRPr="000275D8" w:rsidRDefault="00172556" w:rsidP="00172556">
      <w:pPr>
        <w:pStyle w:val="Tabletitle-forhiding"/>
      </w:pPr>
      <w:bookmarkStart w:id="121" w:name="_Toc190426279"/>
      <w:r>
        <w:t>1</w:t>
      </w:r>
      <w:r w:rsidR="008E4A93">
        <w:t>0</w:t>
      </w:r>
      <w:r>
        <w:t xml:space="preserve"> Grouped functional domain disability rates for adults, by </w:t>
      </w:r>
      <w:r w:rsidR="00746C42">
        <w:t>age group</w:t>
      </w:r>
      <w:bookmarkEnd w:id="121"/>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27"/>
        <w:gridCol w:w="1145"/>
        <w:gridCol w:w="1250"/>
        <w:gridCol w:w="1161"/>
        <w:gridCol w:w="1233"/>
        <w:gridCol w:w="1176"/>
        <w:gridCol w:w="1224"/>
      </w:tblGrid>
      <w:tr w:rsidR="00172556" w14:paraId="37B0A8DA" w14:textId="77777777" w:rsidTr="3524BD2A">
        <w:trPr>
          <w:trHeight w:val="413"/>
        </w:trPr>
        <w:tc>
          <w:tcPr>
            <w:tcW w:w="5000" w:type="pct"/>
            <w:gridSpan w:val="7"/>
            <w:tcBorders>
              <w:left w:val="single" w:sz="4" w:space="0" w:color="auto"/>
              <w:right w:val="single" w:sz="4" w:space="0" w:color="auto"/>
            </w:tcBorders>
          </w:tcPr>
          <w:p w14:paraId="3BF16B5D" w14:textId="15C717A1" w:rsidR="00172556" w:rsidRPr="00B40B92" w:rsidRDefault="00172556" w:rsidP="009B1C87">
            <w:pPr>
              <w:pStyle w:val="Tabletitle1"/>
            </w:pPr>
            <w:r>
              <w:t xml:space="preserve">Grouped functional domain disability rates for adults, by </w:t>
            </w:r>
            <w:r w:rsidR="00746C42">
              <w:t>age group</w:t>
            </w:r>
            <w:r w:rsidR="00A02E1C">
              <w:t xml:space="preserve"> </w:t>
            </w:r>
          </w:p>
        </w:tc>
      </w:tr>
      <w:tr w:rsidR="00172556" w14:paraId="3DB05A00" w14:textId="77777777" w:rsidTr="3524BD2A">
        <w:trPr>
          <w:trHeight w:val="325"/>
        </w:trPr>
        <w:tc>
          <w:tcPr>
            <w:tcW w:w="1013" w:type="pct"/>
            <w:vMerge w:val="restart"/>
            <w:tcBorders>
              <w:top w:val="single" w:sz="4" w:space="0" w:color="auto"/>
              <w:left w:val="single" w:sz="4" w:space="0" w:color="auto"/>
              <w:bottom w:val="single" w:sz="4" w:space="0" w:color="auto"/>
              <w:right w:val="single" w:sz="4" w:space="0" w:color="auto"/>
            </w:tcBorders>
            <w:vAlign w:val="center"/>
          </w:tcPr>
          <w:p w14:paraId="0F4A736A" w14:textId="18EE4EB7" w:rsidR="00172556" w:rsidRPr="004A691B" w:rsidRDefault="00172556" w:rsidP="009B1C87">
            <w:pPr>
              <w:pStyle w:val="Numbertablecolumnheading-leftaligned"/>
            </w:pPr>
            <w:r>
              <w:t>Grouped functional domains</w:t>
            </w:r>
            <w:r w:rsidR="00D53460">
              <w:t xml:space="preserve"> for adults</w:t>
            </w:r>
          </w:p>
        </w:tc>
        <w:tc>
          <w:tcPr>
            <w:tcW w:w="1328" w:type="pct"/>
            <w:gridSpan w:val="2"/>
            <w:tcBorders>
              <w:left w:val="single" w:sz="4" w:space="0" w:color="auto"/>
            </w:tcBorders>
            <w:vAlign w:val="center"/>
          </w:tcPr>
          <w:p w14:paraId="363A502C" w14:textId="05F4FF83" w:rsidR="00172556" w:rsidRDefault="00746C42" w:rsidP="009B1C87">
            <w:pPr>
              <w:pStyle w:val="Numbertablecolumnheading-centered"/>
            </w:pPr>
            <w:r>
              <w:t>15–44 years</w:t>
            </w:r>
          </w:p>
        </w:tc>
        <w:tc>
          <w:tcPr>
            <w:tcW w:w="1328" w:type="pct"/>
            <w:gridSpan w:val="2"/>
            <w:vAlign w:val="center"/>
          </w:tcPr>
          <w:p w14:paraId="76227755" w14:textId="7C296B38" w:rsidR="00172556" w:rsidRPr="00E409C9" w:rsidRDefault="00746C42" w:rsidP="009B1C87">
            <w:pPr>
              <w:pStyle w:val="Numbertablecolumnheading-centered"/>
            </w:pPr>
            <w:r>
              <w:t>44–64 years</w:t>
            </w:r>
          </w:p>
        </w:tc>
        <w:tc>
          <w:tcPr>
            <w:tcW w:w="1331" w:type="pct"/>
            <w:gridSpan w:val="2"/>
            <w:tcBorders>
              <w:right w:val="single" w:sz="4" w:space="0" w:color="auto"/>
            </w:tcBorders>
            <w:vAlign w:val="center"/>
          </w:tcPr>
          <w:p w14:paraId="2348DF6F" w14:textId="519249FB" w:rsidR="00172556" w:rsidRPr="00B40B92" w:rsidRDefault="00746C42" w:rsidP="009B1C87">
            <w:pPr>
              <w:pStyle w:val="Numbertablecolumnheading-centered"/>
            </w:pPr>
            <w:r>
              <w:t>65+ years</w:t>
            </w:r>
          </w:p>
        </w:tc>
      </w:tr>
      <w:tr w:rsidR="00172556" w14:paraId="3CF2F21E" w14:textId="77777777" w:rsidTr="3524BD2A">
        <w:trPr>
          <w:trHeight w:val="277"/>
        </w:trPr>
        <w:tc>
          <w:tcPr>
            <w:tcW w:w="1013" w:type="pct"/>
            <w:vMerge/>
          </w:tcPr>
          <w:p w14:paraId="31798014" w14:textId="77777777" w:rsidR="00172556" w:rsidRDefault="00172556" w:rsidP="009B1C87"/>
        </w:tc>
        <w:tc>
          <w:tcPr>
            <w:tcW w:w="635" w:type="pct"/>
            <w:tcBorders>
              <w:left w:val="single" w:sz="4" w:space="0" w:color="auto"/>
              <w:bottom w:val="single" w:sz="4" w:space="0" w:color="auto"/>
            </w:tcBorders>
          </w:tcPr>
          <w:p w14:paraId="1D333D15" w14:textId="77777777" w:rsidR="00172556" w:rsidRDefault="00172556" w:rsidP="009B1C87">
            <w:pPr>
              <w:pStyle w:val="Numbertablecolumnheading-centered"/>
            </w:pPr>
            <w:r>
              <w:t>Disability rate (%)</w:t>
            </w:r>
          </w:p>
        </w:tc>
        <w:tc>
          <w:tcPr>
            <w:tcW w:w="693" w:type="pct"/>
            <w:tcBorders>
              <w:bottom w:val="single" w:sz="4" w:space="0" w:color="auto"/>
            </w:tcBorders>
          </w:tcPr>
          <w:p w14:paraId="51BB22D9" w14:textId="29B142EE" w:rsidR="00172556" w:rsidRDefault="00172556" w:rsidP="009B1C87">
            <w:pPr>
              <w:pStyle w:val="Numbertablecolumnheading-centered"/>
            </w:pPr>
            <w:r>
              <w:t xml:space="preserve">Number of disabled </w:t>
            </w:r>
            <w:r w:rsidR="00062991">
              <w:t>adults</w:t>
            </w:r>
          </w:p>
        </w:tc>
        <w:tc>
          <w:tcPr>
            <w:tcW w:w="644" w:type="pct"/>
            <w:tcBorders>
              <w:bottom w:val="single" w:sz="4" w:space="0" w:color="auto"/>
              <w:right w:val="single" w:sz="4" w:space="0" w:color="auto"/>
            </w:tcBorders>
          </w:tcPr>
          <w:p w14:paraId="1334BEF8" w14:textId="77777777" w:rsidR="00172556" w:rsidRPr="00BB1E87" w:rsidRDefault="00172556" w:rsidP="009B1C87">
            <w:pPr>
              <w:pStyle w:val="Numbertablecolumnheading-centered"/>
            </w:pPr>
            <w:r>
              <w:t>Disability rate (%)</w:t>
            </w:r>
          </w:p>
        </w:tc>
        <w:tc>
          <w:tcPr>
            <w:tcW w:w="684" w:type="pct"/>
            <w:tcBorders>
              <w:bottom w:val="single" w:sz="4" w:space="0" w:color="auto"/>
              <w:right w:val="single" w:sz="4" w:space="0" w:color="auto"/>
            </w:tcBorders>
          </w:tcPr>
          <w:p w14:paraId="698EE54A" w14:textId="7CF21AE5" w:rsidR="00172556" w:rsidRPr="00BB1E87" w:rsidRDefault="00172556" w:rsidP="009B1C87">
            <w:pPr>
              <w:pStyle w:val="Numbertablecolumnheading-centered"/>
            </w:pPr>
            <w:r>
              <w:t xml:space="preserve">Number of disabled </w:t>
            </w:r>
            <w:r w:rsidR="00062991">
              <w:t>adults</w:t>
            </w:r>
          </w:p>
        </w:tc>
        <w:tc>
          <w:tcPr>
            <w:tcW w:w="652" w:type="pct"/>
            <w:tcBorders>
              <w:bottom w:val="single" w:sz="4" w:space="0" w:color="auto"/>
              <w:right w:val="single" w:sz="4" w:space="0" w:color="auto"/>
            </w:tcBorders>
          </w:tcPr>
          <w:p w14:paraId="29FF46BD" w14:textId="77777777" w:rsidR="00172556" w:rsidRPr="00BB1E87" w:rsidRDefault="00172556" w:rsidP="009B1C87">
            <w:pPr>
              <w:pStyle w:val="Numbertablecolumnheading-centered"/>
            </w:pPr>
            <w:r>
              <w:t>Disability rate (%)</w:t>
            </w:r>
          </w:p>
        </w:tc>
        <w:tc>
          <w:tcPr>
            <w:tcW w:w="679" w:type="pct"/>
            <w:tcBorders>
              <w:bottom w:val="single" w:sz="4" w:space="0" w:color="auto"/>
              <w:right w:val="single" w:sz="4" w:space="0" w:color="auto"/>
            </w:tcBorders>
          </w:tcPr>
          <w:p w14:paraId="414987FE" w14:textId="01B059EC" w:rsidR="00172556" w:rsidRPr="00BB1E87" w:rsidRDefault="00172556" w:rsidP="009B1C87">
            <w:pPr>
              <w:pStyle w:val="Numbertablecolumnheading-centered"/>
            </w:pPr>
            <w:r>
              <w:t xml:space="preserve">Number of disabled </w:t>
            </w:r>
            <w:r w:rsidR="00062991">
              <w:t>adults</w:t>
            </w:r>
          </w:p>
        </w:tc>
      </w:tr>
      <w:tr w:rsidR="00480EEA" w14:paraId="2D387BC0" w14:textId="77777777" w:rsidTr="3524BD2A">
        <w:trPr>
          <w:trHeight w:val="140"/>
        </w:trPr>
        <w:tc>
          <w:tcPr>
            <w:tcW w:w="1013" w:type="pct"/>
            <w:tcBorders>
              <w:top w:val="single" w:sz="4" w:space="0" w:color="auto"/>
              <w:left w:val="single" w:sz="4" w:space="0" w:color="auto"/>
              <w:bottom w:val="nil"/>
              <w:right w:val="nil"/>
            </w:tcBorders>
          </w:tcPr>
          <w:p w14:paraId="4F3F3061" w14:textId="77777777" w:rsidR="00CA16FC" w:rsidRDefault="00CA16FC" w:rsidP="00CA16FC">
            <w:pPr>
              <w:pStyle w:val="Numbertablecolumnheading-leftaligned"/>
            </w:pPr>
            <w:r>
              <w:t>Physical</w:t>
            </w:r>
          </w:p>
        </w:tc>
        <w:tc>
          <w:tcPr>
            <w:tcW w:w="635" w:type="pct"/>
            <w:tcBorders>
              <w:top w:val="single" w:sz="4" w:space="0" w:color="auto"/>
              <w:left w:val="nil"/>
              <w:bottom w:val="nil"/>
              <w:right w:val="nil"/>
            </w:tcBorders>
          </w:tcPr>
          <w:p w14:paraId="462FDE04" w14:textId="2ED6CBFB" w:rsidR="00CA16FC" w:rsidRPr="00676A28" w:rsidRDefault="00CA16FC" w:rsidP="00CA16FC">
            <w:pPr>
              <w:pStyle w:val="Numbertablecolumnheading-centered"/>
            </w:pPr>
            <w:r w:rsidRPr="003F6EB9">
              <w:t>2</w:t>
            </w:r>
          </w:p>
        </w:tc>
        <w:tc>
          <w:tcPr>
            <w:tcW w:w="693" w:type="pct"/>
            <w:tcBorders>
              <w:top w:val="single" w:sz="4" w:space="0" w:color="auto"/>
              <w:left w:val="nil"/>
              <w:bottom w:val="nil"/>
              <w:right w:val="nil"/>
            </w:tcBorders>
          </w:tcPr>
          <w:p w14:paraId="3565250F" w14:textId="47976C9D" w:rsidR="00CA16FC" w:rsidRPr="00676A28" w:rsidRDefault="00CA16FC" w:rsidP="00CA16FC">
            <w:pPr>
              <w:pStyle w:val="Numbertablecolumnheading-centered"/>
            </w:pPr>
            <w:r w:rsidRPr="003F6EB9">
              <w:t>48,000</w:t>
            </w:r>
          </w:p>
        </w:tc>
        <w:tc>
          <w:tcPr>
            <w:tcW w:w="644" w:type="pct"/>
            <w:tcBorders>
              <w:top w:val="single" w:sz="4" w:space="0" w:color="auto"/>
              <w:left w:val="nil"/>
              <w:bottom w:val="nil"/>
              <w:right w:val="nil"/>
            </w:tcBorders>
          </w:tcPr>
          <w:p w14:paraId="044B6F9E" w14:textId="71A9E17E" w:rsidR="00CA16FC" w:rsidRPr="00676A28" w:rsidRDefault="00CA16FC" w:rsidP="00CA16FC">
            <w:pPr>
              <w:pStyle w:val="Numbertablecolumnheading-centered"/>
            </w:pPr>
            <w:r w:rsidRPr="003F6EB9">
              <w:t>9</w:t>
            </w:r>
          </w:p>
        </w:tc>
        <w:tc>
          <w:tcPr>
            <w:tcW w:w="684" w:type="pct"/>
            <w:tcBorders>
              <w:top w:val="single" w:sz="4" w:space="0" w:color="auto"/>
              <w:left w:val="nil"/>
              <w:bottom w:val="nil"/>
              <w:right w:val="nil"/>
            </w:tcBorders>
          </w:tcPr>
          <w:p w14:paraId="5D05B898" w14:textId="3741AA4C" w:rsidR="00CA16FC" w:rsidRPr="00676A28" w:rsidRDefault="00CA16FC" w:rsidP="00CA16FC">
            <w:pPr>
              <w:pStyle w:val="Numbertablecolumnheading-centered"/>
            </w:pPr>
            <w:r w:rsidRPr="003F6EB9">
              <w:t>110,000</w:t>
            </w:r>
          </w:p>
        </w:tc>
        <w:tc>
          <w:tcPr>
            <w:tcW w:w="652" w:type="pct"/>
            <w:tcBorders>
              <w:top w:val="single" w:sz="4" w:space="0" w:color="auto"/>
              <w:left w:val="nil"/>
              <w:bottom w:val="nil"/>
              <w:right w:val="nil"/>
            </w:tcBorders>
          </w:tcPr>
          <w:p w14:paraId="3F8781E6" w14:textId="3F864AE3" w:rsidR="00CA16FC" w:rsidRPr="00676A28" w:rsidRDefault="00CA16FC" w:rsidP="00CA16FC">
            <w:pPr>
              <w:pStyle w:val="Numbertablecolumnheading-centered"/>
            </w:pPr>
            <w:r w:rsidRPr="003F6EB9">
              <w:t>26</w:t>
            </w:r>
          </w:p>
        </w:tc>
        <w:tc>
          <w:tcPr>
            <w:tcW w:w="679" w:type="pct"/>
            <w:tcBorders>
              <w:top w:val="single" w:sz="4" w:space="0" w:color="auto"/>
              <w:left w:val="nil"/>
              <w:bottom w:val="nil"/>
              <w:right w:val="single" w:sz="4" w:space="0" w:color="auto"/>
            </w:tcBorders>
          </w:tcPr>
          <w:p w14:paraId="4C8F36DC" w14:textId="2D476970" w:rsidR="00CA16FC" w:rsidRPr="00676A28" w:rsidRDefault="00CA16FC" w:rsidP="00CA16FC">
            <w:pPr>
              <w:pStyle w:val="Numbertablecolumnheading-centered"/>
            </w:pPr>
            <w:r w:rsidRPr="003F6EB9">
              <w:t>212,000</w:t>
            </w:r>
          </w:p>
        </w:tc>
      </w:tr>
      <w:tr w:rsidR="00480EEA" w14:paraId="7716789E" w14:textId="77777777" w:rsidTr="3524BD2A">
        <w:trPr>
          <w:trHeight w:val="284"/>
        </w:trPr>
        <w:tc>
          <w:tcPr>
            <w:tcW w:w="1013" w:type="pct"/>
            <w:tcBorders>
              <w:top w:val="nil"/>
              <w:left w:val="single" w:sz="4" w:space="0" w:color="auto"/>
              <w:bottom w:val="nil"/>
              <w:right w:val="nil"/>
            </w:tcBorders>
          </w:tcPr>
          <w:p w14:paraId="6AF048D1" w14:textId="77777777" w:rsidR="00CA16FC" w:rsidRPr="00E409C9" w:rsidRDefault="00CA16FC" w:rsidP="00CA16FC">
            <w:pPr>
              <w:pStyle w:val="Numbertablecolumnheading-leftaligned"/>
            </w:pPr>
            <w:r>
              <w:t>Sensory</w:t>
            </w:r>
          </w:p>
        </w:tc>
        <w:tc>
          <w:tcPr>
            <w:tcW w:w="635" w:type="pct"/>
            <w:tcBorders>
              <w:top w:val="nil"/>
              <w:left w:val="nil"/>
              <w:bottom w:val="nil"/>
              <w:right w:val="nil"/>
            </w:tcBorders>
          </w:tcPr>
          <w:p w14:paraId="1F26727D" w14:textId="751A73A5" w:rsidR="00CA16FC" w:rsidRPr="008C60EC" w:rsidRDefault="00CA16FC" w:rsidP="00CA16FC">
            <w:pPr>
              <w:pStyle w:val="Numbertablecolumnheading-centered"/>
            </w:pPr>
            <w:r w:rsidRPr="003F6EB9">
              <w:t>2</w:t>
            </w:r>
          </w:p>
        </w:tc>
        <w:tc>
          <w:tcPr>
            <w:tcW w:w="693" w:type="pct"/>
            <w:tcBorders>
              <w:top w:val="nil"/>
              <w:left w:val="nil"/>
              <w:bottom w:val="nil"/>
              <w:right w:val="nil"/>
            </w:tcBorders>
          </w:tcPr>
          <w:p w14:paraId="2102E2EE" w14:textId="5827ED83" w:rsidR="00CA16FC" w:rsidRPr="008C60EC" w:rsidRDefault="00CA16FC" w:rsidP="00CA16FC">
            <w:pPr>
              <w:pStyle w:val="Numbertablecolumnheading-centered"/>
            </w:pPr>
            <w:r w:rsidRPr="003F6EB9">
              <w:t>48,000</w:t>
            </w:r>
          </w:p>
        </w:tc>
        <w:tc>
          <w:tcPr>
            <w:tcW w:w="644" w:type="pct"/>
            <w:tcBorders>
              <w:top w:val="nil"/>
              <w:left w:val="nil"/>
              <w:bottom w:val="nil"/>
              <w:right w:val="nil"/>
            </w:tcBorders>
          </w:tcPr>
          <w:p w14:paraId="06C87CD0" w14:textId="502FC715" w:rsidR="00CA16FC" w:rsidRPr="008C60EC" w:rsidRDefault="00CA16FC" w:rsidP="00CA16FC">
            <w:pPr>
              <w:pStyle w:val="Numbertablecolumnheading-centered"/>
            </w:pPr>
            <w:r w:rsidRPr="003F6EB9">
              <w:t>6</w:t>
            </w:r>
          </w:p>
        </w:tc>
        <w:tc>
          <w:tcPr>
            <w:tcW w:w="684" w:type="pct"/>
            <w:tcBorders>
              <w:top w:val="nil"/>
              <w:left w:val="nil"/>
              <w:bottom w:val="nil"/>
              <w:right w:val="nil"/>
            </w:tcBorders>
          </w:tcPr>
          <w:p w14:paraId="5468DB74" w14:textId="07EE2476" w:rsidR="00CA16FC" w:rsidRPr="008C60EC" w:rsidRDefault="00CA16FC" w:rsidP="00CA16FC">
            <w:pPr>
              <w:pStyle w:val="Numbertablecolumnheading-centered"/>
            </w:pPr>
            <w:r w:rsidRPr="003F6EB9">
              <w:t>81,000</w:t>
            </w:r>
          </w:p>
        </w:tc>
        <w:tc>
          <w:tcPr>
            <w:tcW w:w="652" w:type="pct"/>
            <w:tcBorders>
              <w:top w:val="nil"/>
              <w:left w:val="nil"/>
              <w:bottom w:val="nil"/>
              <w:right w:val="nil"/>
            </w:tcBorders>
          </w:tcPr>
          <w:p w14:paraId="55B7CB34" w14:textId="60B9230F" w:rsidR="00CA16FC" w:rsidRPr="008C60EC" w:rsidRDefault="00CA16FC" w:rsidP="00CA16FC">
            <w:pPr>
              <w:pStyle w:val="Numbertablecolumnheading-centered"/>
            </w:pPr>
            <w:r w:rsidRPr="003F6EB9">
              <w:t>11</w:t>
            </w:r>
          </w:p>
        </w:tc>
        <w:tc>
          <w:tcPr>
            <w:tcW w:w="679" w:type="pct"/>
            <w:tcBorders>
              <w:top w:val="nil"/>
              <w:left w:val="nil"/>
              <w:bottom w:val="nil"/>
              <w:right w:val="single" w:sz="4" w:space="0" w:color="auto"/>
            </w:tcBorders>
          </w:tcPr>
          <w:p w14:paraId="06FB7079" w14:textId="6BEA8821" w:rsidR="00CA16FC" w:rsidRPr="008C60EC" w:rsidRDefault="00CA16FC" w:rsidP="00CA16FC">
            <w:pPr>
              <w:pStyle w:val="Numbertablecolumnheading-centered"/>
            </w:pPr>
            <w:r w:rsidRPr="003F6EB9">
              <w:t>94,000</w:t>
            </w:r>
          </w:p>
        </w:tc>
      </w:tr>
      <w:tr w:rsidR="00480EEA" w14:paraId="5D6897F5" w14:textId="77777777" w:rsidTr="3524BD2A">
        <w:trPr>
          <w:trHeight w:val="284"/>
        </w:trPr>
        <w:tc>
          <w:tcPr>
            <w:tcW w:w="1013" w:type="pct"/>
            <w:tcBorders>
              <w:top w:val="nil"/>
              <w:left w:val="single" w:sz="4" w:space="0" w:color="auto"/>
              <w:bottom w:val="nil"/>
              <w:right w:val="nil"/>
            </w:tcBorders>
          </w:tcPr>
          <w:p w14:paraId="341E3B1D" w14:textId="2844C08A" w:rsidR="00C132A2" w:rsidRPr="00BB1E87" w:rsidRDefault="00C132A2" w:rsidP="00C132A2">
            <w:pPr>
              <w:pStyle w:val="Numbertablecolumnheading-leftaligned"/>
            </w:pPr>
            <w:r w:rsidRPr="007A6990">
              <w:t>Pain</w:t>
            </w:r>
          </w:p>
        </w:tc>
        <w:tc>
          <w:tcPr>
            <w:tcW w:w="635" w:type="pct"/>
            <w:tcBorders>
              <w:top w:val="nil"/>
              <w:left w:val="nil"/>
              <w:bottom w:val="nil"/>
              <w:right w:val="nil"/>
            </w:tcBorders>
          </w:tcPr>
          <w:p w14:paraId="06CE88CD" w14:textId="73D4FAFB" w:rsidR="00C132A2" w:rsidRPr="008C60EC" w:rsidRDefault="00C132A2" w:rsidP="00C132A2">
            <w:pPr>
              <w:pStyle w:val="Numbertablecolumnheading-centered"/>
            </w:pPr>
            <w:r w:rsidRPr="00720BBD">
              <w:t>2</w:t>
            </w:r>
          </w:p>
        </w:tc>
        <w:tc>
          <w:tcPr>
            <w:tcW w:w="693" w:type="pct"/>
            <w:tcBorders>
              <w:top w:val="nil"/>
              <w:left w:val="nil"/>
              <w:bottom w:val="nil"/>
              <w:right w:val="nil"/>
            </w:tcBorders>
          </w:tcPr>
          <w:p w14:paraId="3C62DBF7" w14:textId="30866987" w:rsidR="00C132A2" w:rsidRPr="008C60EC" w:rsidRDefault="00C132A2" w:rsidP="00C132A2">
            <w:pPr>
              <w:pStyle w:val="Numbertablecolumnheading-centered"/>
            </w:pPr>
            <w:r w:rsidRPr="00720BBD">
              <w:t>38,000</w:t>
            </w:r>
          </w:p>
        </w:tc>
        <w:tc>
          <w:tcPr>
            <w:tcW w:w="644" w:type="pct"/>
            <w:tcBorders>
              <w:top w:val="nil"/>
              <w:left w:val="nil"/>
              <w:bottom w:val="nil"/>
              <w:right w:val="nil"/>
            </w:tcBorders>
          </w:tcPr>
          <w:p w14:paraId="379D751D" w14:textId="0B8BC107" w:rsidR="00C132A2" w:rsidRPr="008C60EC" w:rsidRDefault="00C132A2" w:rsidP="00C132A2">
            <w:pPr>
              <w:pStyle w:val="Numbertablecolumnheading-centered"/>
            </w:pPr>
            <w:r w:rsidRPr="00720BBD">
              <w:t>4</w:t>
            </w:r>
          </w:p>
        </w:tc>
        <w:tc>
          <w:tcPr>
            <w:tcW w:w="684" w:type="pct"/>
            <w:tcBorders>
              <w:top w:val="nil"/>
              <w:left w:val="nil"/>
              <w:bottom w:val="nil"/>
              <w:right w:val="nil"/>
            </w:tcBorders>
          </w:tcPr>
          <w:p w14:paraId="2EA29FF8" w14:textId="360902E5" w:rsidR="00C132A2" w:rsidRPr="008C60EC" w:rsidRDefault="00C132A2" w:rsidP="00C132A2">
            <w:pPr>
              <w:pStyle w:val="Numbertablecolumnheading-centered"/>
            </w:pPr>
            <w:r w:rsidRPr="00720BBD">
              <w:t>49,000</w:t>
            </w:r>
          </w:p>
        </w:tc>
        <w:tc>
          <w:tcPr>
            <w:tcW w:w="652" w:type="pct"/>
            <w:tcBorders>
              <w:top w:val="nil"/>
              <w:left w:val="nil"/>
              <w:bottom w:val="nil"/>
              <w:right w:val="nil"/>
            </w:tcBorders>
          </w:tcPr>
          <w:p w14:paraId="2FDFBD0B" w14:textId="0CF41785" w:rsidR="00C132A2" w:rsidRPr="008C60EC" w:rsidRDefault="00C132A2" w:rsidP="00C132A2">
            <w:pPr>
              <w:pStyle w:val="Numbertablecolumnheading-centered"/>
            </w:pPr>
            <w:r w:rsidRPr="00720BBD">
              <w:t>6</w:t>
            </w:r>
          </w:p>
        </w:tc>
        <w:tc>
          <w:tcPr>
            <w:tcW w:w="679" w:type="pct"/>
            <w:tcBorders>
              <w:top w:val="nil"/>
              <w:left w:val="nil"/>
              <w:bottom w:val="nil"/>
              <w:right w:val="single" w:sz="4" w:space="0" w:color="auto"/>
            </w:tcBorders>
          </w:tcPr>
          <w:p w14:paraId="35642191" w14:textId="5AFF41B7" w:rsidR="00C132A2" w:rsidRPr="008C60EC" w:rsidRDefault="00C132A2" w:rsidP="00C132A2">
            <w:pPr>
              <w:pStyle w:val="Numbertablecolumnheading-centered"/>
            </w:pPr>
            <w:r w:rsidRPr="00720BBD">
              <w:t>50,000</w:t>
            </w:r>
          </w:p>
        </w:tc>
      </w:tr>
      <w:tr w:rsidR="003509AF" w14:paraId="5D4F0CD9" w14:textId="77777777" w:rsidTr="3524BD2A">
        <w:trPr>
          <w:trHeight w:val="284"/>
        </w:trPr>
        <w:tc>
          <w:tcPr>
            <w:tcW w:w="1013" w:type="pct"/>
            <w:tcBorders>
              <w:top w:val="nil"/>
              <w:left w:val="single" w:sz="4" w:space="0" w:color="auto"/>
              <w:bottom w:val="nil"/>
              <w:right w:val="nil"/>
            </w:tcBorders>
          </w:tcPr>
          <w:p w14:paraId="76C02790" w14:textId="3059ABB5" w:rsidR="003509AF" w:rsidRPr="007A6990" w:rsidRDefault="003509AF" w:rsidP="003509AF">
            <w:pPr>
              <w:pStyle w:val="Numbertablecolumnheading-leftaligned"/>
            </w:pPr>
            <w:r w:rsidRPr="007A6990">
              <w:t>Other</w:t>
            </w:r>
          </w:p>
        </w:tc>
        <w:tc>
          <w:tcPr>
            <w:tcW w:w="635" w:type="pct"/>
            <w:tcBorders>
              <w:top w:val="nil"/>
              <w:left w:val="nil"/>
              <w:bottom w:val="nil"/>
              <w:right w:val="nil"/>
            </w:tcBorders>
          </w:tcPr>
          <w:p w14:paraId="44BAB34D" w14:textId="7B1D1DC2" w:rsidR="003509AF" w:rsidRPr="00720BBD" w:rsidRDefault="003509AF" w:rsidP="003509AF">
            <w:pPr>
              <w:pStyle w:val="Numbertablecolumnheading-centered"/>
            </w:pPr>
            <w:r w:rsidRPr="00720BBD">
              <w:t>2</w:t>
            </w:r>
          </w:p>
        </w:tc>
        <w:tc>
          <w:tcPr>
            <w:tcW w:w="693" w:type="pct"/>
            <w:tcBorders>
              <w:top w:val="nil"/>
              <w:left w:val="nil"/>
              <w:bottom w:val="nil"/>
              <w:right w:val="nil"/>
            </w:tcBorders>
          </w:tcPr>
          <w:p w14:paraId="497D71B4" w14:textId="270BA7F8" w:rsidR="003509AF" w:rsidRPr="00720BBD" w:rsidRDefault="003509AF" w:rsidP="003509AF">
            <w:pPr>
              <w:pStyle w:val="Numbertablecolumnheading-centered"/>
            </w:pPr>
            <w:r w:rsidRPr="00720BBD">
              <w:t>49,000</w:t>
            </w:r>
          </w:p>
        </w:tc>
        <w:tc>
          <w:tcPr>
            <w:tcW w:w="644" w:type="pct"/>
            <w:tcBorders>
              <w:top w:val="nil"/>
              <w:left w:val="nil"/>
              <w:bottom w:val="nil"/>
              <w:right w:val="nil"/>
            </w:tcBorders>
          </w:tcPr>
          <w:p w14:paraId="6C7FF355" w14:textId="05379EC1" w:rsidR="003509AF" w:rsidRPr="00720BBD" w:rsidRDefault="003509AF" w:rsidP="003509AF">
            <w:pPr>
              <w:pStyle w:val="Numbertablecolumnheading-centered"/>
            </w:pPr>
            <w:r w:rsidRPr="00720BBD">
              <w:t>2</w:t>
            </w:r>
          </w:p>
        </w:tc>
        <w:tc>
          <w:tcPr>
            <w:tcW w:w="684" w:type="pct"/>
            <w:tcBorders>
              <w:top w:val="nil"/>
              <w:left w:val="nil"/>
              <w:bottom w:val="nil"/>
              <w:right w:val="nil"/>
            </w:tcBorders>
          </w:tcPr>
          <w:p w14:paraId="03A70822" w14:textId="41D1F46E" w:rsidR="003509AF" w:rsidRPr="00720BBD" w:rsidRDefault="003509AF" w:rsidP="003509AF">
            <w:pPr>
              <w:pStyle w:val="Numbertablecolumnheading-centered"/>
            </w:pPr>
            <w:r w:rsidRPr="00720BBD">
              <w:t>24,000</w:t>
            </w:r>
          </w:p>
        </w:tc>
        <w:tc>
          <w:tcPr>
            <w:tcW w:w="652" w:type="pct"/>
            <w:tcBorders>
              <w:top w:val="nil"/>
              <w:left w:val="nil"/>
              <w:bottom w:val="nil"/>
              <w:right w:val="nil"/>
            </w:tcBorders>
          </w:tcPr>
          <w:p w14:paraId="39EFA465" w14:textId="2E9B0125" w:rsidR="003509AF" w:rsidRPr="00720BBD" w:rsidRDefault="003509AF" w:rsidP="003509AF">
            <w:pPr>
              <w:pStyle w:val="Numbertablecolumnheading-centered"/>
            </w:pPr>
            <w:r w:rsidRPr="00720BBD">
              <w:t>4</w:t>
            </w:r>
          </w:p>
        </w:tc>
        <w:tc>
          <w:tcPr>
            <w:tcW w:w="679" w:type="pct"/>
            <w:tcBorders>
              <w:top w:val="nil"/>
              <w:left w:val="nil"/>
              <w:bottom w:val="nil"/>
              <w:right w:val="single" w:sz="4" w:space="0" w:color="auto"/>
            </w:tcBorders>
          </w:tcPr>
          <w:p w14:paraId="39827854" w14:textId="0B87B279" w:rsidR="003509AF" w:rsidRPr="00720BBD" w:rsidRDefault="003509AF" w:rsidP="003509AF">
            <w:pPr>
              <w:pStyle w:val="Numbertablecolumnheading-centered"/>
            </w:pPr>
            <w:r w:rsidRPr="00720BBD">
              <w:t>33,000</w:t>
            </w:r>
          </w:p>
        </w:tc>
      </w:tr>
      <w:tr w:rsidR="00461F35" w14:paraId="3966F7E0" w14:textId="77777777" w:rsidTr="3524BD2A">
        <w:trPr>
          <w:trHeight w:val="284"/>
        </w:trPr>
        <w:tc>
          <w:tcPr>
            <w:tcW w:w="1013" w:type="pct"/>
            <w:tcBorders>
              <w:top w:val="nil"/>
              <w:left w:val="single" w:sz="4" w:space="0" w:color="auto"/>
              <w:bottom w:val="nil"/>
              <w:right w:val="nil"/>
            </w:tcBorders>
          </w:tcPr>
          <w:p w14:paraId="098A5F59" w14:textId="6932C4D2" w:rsidR="00461F35" w:rsidRPr="007A6990" w:rsidRDefault="00461F35" w:rsidP="00461F35">
            <w:pPr>
              <w:pStyle w:val="Numbertablecolumnheading-leftaligned"/>
            </w:pPr>
            <w:r w:rsidRPr="007A6990">
              <w:t>Mental health</w:t>
            </w:r>
          </w:p>
        </w:tc>
        <w:tc>
          <w:tcPr>
            <w:tcW w:w="635" w:type="pct"/>
            <w:tcBorders>
              <w:top w:val="nil"/>
              <w:left w:val="nil"/>
              <w:bottom w:val="nil"/>
              <w:right w:val="nil"/>
            </w:tcBorders>
          </w:tcPr>
          <w:p w14:paraId="1C7887CA" w14:textId="5BB59BDB" w:rsidR="00461F35" w:rsidRPr="00720BBD" w:rsidRDefault="00461F35" w:rsidP="00461F35">
            <w:pPr>
              <w:pStyle w:val="Numbertablecolumnheading-centered"/>
            </w:pPr>
            <w:r w:rsidRPr="00720BBD">
              <w:t>4</w:t>
            </w:r>
          </w:p>
        </w:tc>
        <w:tc>
          <w:tcPr>
            <w:tcW w:w="693" w:type="pct"/>
            <w:tcBorders>
              <w:top w:val="nil"/>
              <w:left w:val="nil"/>
              <w:bottom w:val="nil"/>
              <w:right w:val="nil"/>
            </w:tcBorders>
          </w:tcPr>
          <w:p w14:paraId="56FE1B89" w14:textId="61290C27" w:rsidR="00461F35" w:rsidRPr="00720BBD" w:rsidRDefault="00461F35" w:rsidP="00461F35">
            <w:pPr>
              <w:pStyle w:val="Numbertablecolumnheading-centered"/>
            </w:pPr>
            <w:r w:rsidRPr="00720BBD">
              <w:t>86,000</w:t>
            </w:r>
          </w:p>
        </w:tc>
        <w:tc>
          <w:tcPr>
            <w:tcW w:w="644" w:type="pct"/>
            <w:tcBorders>
              <w:top w:val="nil"/>
              <w:left w:val="nil"/>
              <w:bottom w:val="nil"/>
              <w:right w:val="nil"/>
            </w:tcBorders>
          </w:tcPr>
          <w:p w14:paraId="6D7337B9" w14:textId="7EC42E13" w:rsidR="00461F35" w:rsidRPr="00720BBD" w:rsidRDefault="00461F35" w:rsidP="00461F35">
            <w:pPr>
              <w:pStyle w:val="Numbertablecolumnheading-centered"/>
            </w:pPr>
            <w:r w:rsidRPr="00720BBD">
              <w:t>3</w:t>
            </w:r>
          </w:p>
        </w:tc>
        <w:tc>
          <w:tcPr>
            <w:tcW w:w="684" w:type="pct"/>
            <w:tcBorders>
              <w:top w:val="nil"/>
              <w:left w:val="nil"/>
              <w:bottom w:val="nil"/>
              <w:right w:val="nil"/>
            </w:tcBorders>
          </w:tcPr>
          <w:p w14:paraId="782DB60E" w14:textId="47287D0C" w:rsidR="00461F35" w:rsidRPr="00720BBD" w:rsidRDefault="00461F35" w:rsidP="00461F35">
            <w:pPr>
              <w:pStyle w:val="Numbertablecolumnheading-centered"/>
            </w:pPr>
            <w:r w:rsidRPr="00720BBD">
              <w:t>37,000</w:t>
            </w:r>
          </w:p>
        </w:tc>
        <w:tc>
          <w:tcPr>
            <w:tcW w:w="652" w:type="pct"/>
            <w:tcBorders>
              <w:top w:val="nil"/>
              <w:left w:val="nil"/>
              <w:bottom w:val="nil"/>
              <w:right w:val="nil"/>
            </w:tcBorders>
          </w:tcPr>
          <w:p w14:paraId="0CAE2F0D" w14:textId="77520FCB" w:rsidR="00461F35" w:rsidRPr="00720BBD" w:rsidRDefault="00461F35" w:rsidP="00461F35">
            <w:pPr>
              <w:pStyle w:val="Numbertablecolumnheading-centered"/>
            </w:pPr>
            <w:r w:rsidRPr="00720BBD">
              <w:t>1</w:t>
            </w:r>
          </w:p>
        </w:tc>
        <w:tc>
          <w:tcPr>
            <w:tcW w:w="679" w:type="pct"/>
            <w:tcBorders>
              <w:top w:val="nil"/>
              <w:left w:val="nil"/>
              <w:bottom w:val="nil"/>
              <w:right w:val="single" w:sz="4" w:space="0" w:color="auto"/>
            </w:tcBorders>
          </w:tcPr>
          <w:p w14:paraId="114FB1DC" w14:textId="2234E82B" w:rsidR="00461F35" w:rsidRPr="00720BBD" w:rsidRDefault="00461F35" w:rsidP="00461F35">
            <w:pPr>
              <w:pStyle w:val="Numbertablecolumnheading-centered"/>
            </w:pPr>
            <w:r w:rsidRPr="00720BBD">
              <w:t>11,000</w:t>
            </w:r>
          </w:p>
        </w:tc>
      </w:tr>
      <w:tr w:rsidR="00461F35" w14:paraId="744EC3FC" w14:textId="77777777" w:rsidTr="3524BD2A">
        <w:trPr>
          <w:trHeight w:val="284"/>
        </w:trPr>
        <w:tc>
          <w:tcPr>
            <w:tcW w:w="1013" w:type="pct"/>
            <w:tcBorders>
              <w:top w:val="nil"/>
              <w:left w:val="single" w:sz="4" w:space="0" w:color="auto"/>
              <w:bottom w:val="nil"/>
              <w:right w:val="nil"/>
            </w:tcBorders>
          </w:tcPr>
          <w:p w14:paraId="3E4013A2" w14:textId="62BB7231" w:rsidR="00461F35" w:rsidRPr="007A6990" w:rsidRDefault="00461F35" w:rsidP="00461F35">
            <w:pPr>
              <w:pStyle w:val="Numbertablecolumnheading-leftaligned"/>
            </w:pPr>
            <w:r w:rsidRPr="007A6990">
              <w:t xml:space="preserve">Socialising </w:t>
            </w:r>
          </w:p>
        </w:tc>
        <w:tc>
          <w:tcPr>
            <w:tcW w:w="635" w:type="pct"/>
            <w:tcBorders>
              <w:top w:val="nil"/>
              <w:left w:val="nil"/>
              <w:bottom w:val="nil"/>
              <w:right w:val="nil"/>
            </w:tcBorders>
          </w:tcPr>
          <w:p w14:paraId="3B3DFDBA" w14:textId="4C18A0F6" w:rsidR="00461F35" w:rsidRPr="00720BBD" w:rsidRDefault="00461F35" w:rsidP="00461F35">
            <w:pPr>
              <w:pStyle w:val="Numbertablecolumnheading-centered"/>
            </w:pPr>
            <w:r w:rsidRPr="00720BBD">
              <w:t>3</w:t>
            </w:r>
          </w:p>
        </w:tc>
        <w:tc>
          <w:tcPr>
            <w:tcW w:w="693" w:type="pct"/>
            <w:tcBorders>
              <w:top w:val="nil"/>
              <w:left w:val="nil"/>
              <w:bottom w:val="nil"/>
              <w:right w:val="nil"/>
            </w:tcBorders>
          </w:tcPr>
          <w:p w14:paraId="543B942C" w14:textId="67E3CB11" w:rsidR="00461F35" w:rsidRPr="00720BBD" w:rsidRDefault="00461F35" w:rsidP="00461F35">
            <w:pPr>
              <w:pStyle w:val="Numbertablecolumnheading-centered"/>
            </w:pPr>
            <w:r w:rsidRPr="00720BBD">
              <w:t>68,000</w:t>
            </w:r>
          </w:p>
        </w:tc>
        <w:tc>
          <w:tcPr>
            <w:tcW w:w="644" w:type="pct"/>
            <w:tcBorders>
              <w:top w:val="nil"/>
              <w:left w:val="nil"/>
              <w:bottom w:val="nil"/>
              <w:right w:val="nil"/>
            </w:tcBorders>
          </w:tcPr>
          <w:p w14:paraId="0CB04064" w14:textId="28F232E1" w:rsidR="00461F35" w:rsidRPr="00720BBD" w:rsidRDefault="00461F35" w:rsidP="00461F35">
            <w:pPr>
              <w:pStyle w:val="Numbertablecolumnheading-centered"/>
            </w:pPr>
            <w:r w:rsidRPr="00720BBD">
              <w:t>2</w:t>
            </w:r>
          </w:p>
        </w:tc>
        <w:tc>
          <w:tcPr>
            <w:tcW w:w="684" w:type="pct"/>
            <w:tcBorders>
              <w:top w:val="nil"/>
              <w:left w:val="nil"/>
              <w:bottom w:val="nil"/>
              <w:right w:val="nil"/>
            </w:tcBorders>
          </w:tcPr>
          <w:p w14:paraId="60A2FF16" w14:textId="6E96A432" w:rsidR="00461F35" w:rsidRPr="00720BBD" w:rsidRDefault="00461F35" w:rsidP="00461F35">
            <w:pPr>
              <w:pStyle w:val="Numbertablecolumnheading-centered"/>
            </w:pPr>
            <w:r w:rsidRPr="00720BBD">
              <w:t>31,000</w:t>
            </w:r>
          </w:p>
        </w:tc>
        <w:tc>
          <w:tcPr>
            <w:tcW w:w="652" w:type="pct"/>
            <w:tcBorders>
              <w:top w:val="nil"/>
              <w:left w:val="nil"/>
              <w:bottom w:val="nil"/>
              <w:right w:val="nil"/>
            </w:tcBorders>
          </w:tcPr>
          <w:p w14:paraId="6820E920" w14:textId="242616CA" w:rsidR="00461F35" w:rsidRPr="00720BBD" w:rsidRDefault="00461F35" w:rsidP="00461F35">
            <w:pPr>
              <w:pStyle w:val="Numbertablecolumnheading-centered"/>
            </w:pPr>
            <w:r w:rsidRPr="00720BBD">
              <w:t>2</w:t>
            </w:r>
          </w:p>
        </w:tc>
        <w:tc>
          <w:tcPr>
            <w:tcW w:w="679" w:type="pct"/>
            <w:tcBorders>
              <w:top w:val="nil"/>
              <w:left w:val="nil"/>
              <w:bottom w:val="nil"/>
              <w:right w:val="single" w:sz="4" w:space="0" w:color="auto"/>
            </w:tcBorders>
          </w:tcPr>
          <w:p w14:paraId="519C4D50" w14:textId="64450A57" w:rsidR="00461F35" w:rsidRPr="00720BBD" w:rsidRDefault="00461F35" w:rsidP="00461F35">
            <w:pPr>
              <w:pStyle w:val="Numbertablecolumnheading-centered"/>
            </w:pPr>
            <w:r w:rsidRPr="00720BBD">
              <w:t>18,000</w:t>
            </w:r>
          </w:p>
        </w:tc>
      </w:tr>
      <w:tr w:rsidR="00461F35" w14:paraId="250B3903" w14:textId="77777777" w:rsidTr="3524BD2A">
        <w:trPr>
          <w:trHeight w:val="284"/>
        </w:trPr>
        <w:tc>
          <w:tcPr>
            <w:tcW w:w="1013" w:type="pct"/>
            <w:tcBorders>
              <w:top w:val="nil"/>
              <w:left w:val="single" w:sz="4" w:space="0" w:color="auto"/>
              <w:bottom w:val="nil"/>
              <w:right w:val="nil"/>
            </w:tcBorders>
          </w:tcPr>
          <w:p w14:paraId="3D8B5653" w14:textId="1CBFC75A" w:rsidR="00461F35" w:rsidRPr="007A6990" w:rsidRDefault="00461F35" w:rsidP="00461F35">
            <w:pPr>
              <w:pStyle w:val="Numbertablecolumnheading-leftaligned"/>
            </w:pPr>
            <w:r w:rsidRPr="007A6990">
              <w:t>Cognition</w:t>
            </w:r>
          </w:p>
        </w:tc>
        <w:tc>
          <w:tcPr>
            <w:tcW w:w="635" w:type="pct"/>
            <w:tcBorders>
              <w:top w:val="nil"/>
              <w:left w:val="nil"/>
              <w:bottom w:val="nil"/>
              <w:right w:val="nil"/>
            </w:tcBorders>
          </w:tcPr>
          <w:p w14:paraId="257B8C57" w14:textId="044F8BA9" w:rsidR="00461F35" w:rsidRPr="00720BBD" w:rsidRDefault="00461F35" w:rsidP="00461F35">
            <w:pPr>
              <w:pStyle w:val="Numbertablecolumnheading-centered"/>
            </w:pPr>
            <w:r w:rsidRPr="00720BBD">
              <w:t>4</w:t>
            </w:r>
          </w:p>
        </w:tc>
        <w:tc>
          <w:tcPr>
            <w:tcW w:w="693" w:type="pct"/>
            <w:tcBorders>
              <w:top w:val="nil"/>
              <w:left w:val="nil"/>
              <w:bottom w:val="nil"/>
              <w:right w:val="nil"/>
            </w:tcBorders>
          </w:tcPr>
          <w:p w14:paraId="0FC3A573" w14:textId="7AAD7C34" w:rsidR="00461F35" w:rsidRPr="00720BBD" w:rsidRDefault="00461F35" w:rsidP="00461F35">
            <w:pPr>
              <w:pStyle w:val="Numbertablecolumnheading-centered"/>
            </w:pPr>
            <w:r w:rsidRPr="00720BBD">
              <w:t>93,000</w:t>
            </w:r>
          </w:p>
        </w:tc>
        <w:tc>
          <w:tcPr>
            <w:tcW w:w="644" w:type="pct"/>
            <w:tcBorders>
              <w:top w:val="nil"/>
              <w:left w:val="nil"/>
              <w:bottom w:val="nil"/>
              <w:right w:val="nil"/>
            </w:tcBorders>
          </w:tcPr>
          <w:p w14:paraId="5FAED6F6" w14:textId="6C82BE5D" w:rsidR="00461F35" w:rsidRPr="00720BBD" w:rsidRDefault="00461F35" w:rsidP="00461F35">
            <w:pPr>
              <w:pStyle w:val="Numbertablecolumnheading-centered"/>
            </w:pPr>
            <w:r w:rsidRPr="00720BBD">
              <w:t>3</w:t>
            </w:r>
          </w:p>
        </w:tc>
        <w:tc>
          <w:tcPr>
            <w:tcW w:w="684" w:type="pct"/>
            <w:tcBorders>
              <w:top w:val="nil"/>
              <w:left w:val="nil"/>
              <w:bottom w:val="nil"/>
              <w:right w:val="nil"/>
            </w:tcBorders>
          </w:tcPr>
          <w:p w14:paraId="51797F52" w14:textId="6ECDF024" w:rsidR="00461F35" w:rsidRPr="00720BBD" w:rsidRDefault="00461F35" w:rsidP="00461F35">
            <w:pPr>
              <w:pStyle w:val="Numbertablecolumnheading-centered"/>
            </w:pPr>
            <w:r w:rsidRPr="00720BBD">
              <w:t>39,000</w:t>
            </w:r>
          </w:p>
        </w:tc>
        <w:tc>
          <w:tcPr>
            <w:tcW w:w="652" w:type="pct"/>
            <w:tcBorders>
              <w:top w:val="nil"/>
              <w:left w:val="nil"/>
              <w:bottom w:val="nil"/>
              <w:right w:val="nil"/>
            </w:tcBorders>
          </w:tcPr>
          <w:p w14:paraId="3D165278" w14:textId="6D8286BE" w:rsidR="00461F35" w:rsidRPr="00720BBD" w:rsidRDefault="00461F35" w:rsidP="00461F35">
            <w:pPr>
              <w:pStyle w:val="Numbertablecolumnheading-centered"/>
            </w:pPr>
            <w:r w:rsidRPr="00720BBD">
              <w:t>5</w:t>
            </w:r>
          </w:p>
        </w:tc>
        <w:tc>
          <w:tcPr>
            <w:tcW w:w="679" w:type="pct"/>
            <w:tcBorders>
              <w:top w:val="nil"/>
              <w:left w:val="nil"/>
              <w:bottom w:val="nil"/>
              <w:right w:val="single" w:sz="4" w:space="0" w:color="auto"/>
            </w:tcBorders>
          </w:tcPr>
          <w:p w14:paraId="1C668BBB" w14:textId="437815FE" w:rsidR="00461F35" w:rsidRPr="00720BBD" w:rsidRDefault="00461F35" w:rsidP="00461F35">
            <w:pPr>
              <w:pStyle w:val="Numbertablecolumnheading-centered"/>
            </w:pPr>
            <w:r w:rsidRPr="00720BBD">
              <w:t>39,000</w:t>
            </w:r>
          </w:p>
        </w:tc>
      </w:tr>
      <w:tr w:rsidR="00461F35" w14:paraId="2D21535A" w14:textId="77777777" w:rsidTr="3524BD2A">
        <w:trPr>
          <w:trHeight w:val="284"/>
        </w:trPr>
        <w:tc>
          <w:tcPr>
            <w:tcW w:w="1013" w:type="pct"/>
            <w:tcBorders>
              <w:top w:val="nil"/>
              <w:left w:val="single" w:sz="4" w:space="0" w:color="auto"/>
              <w:bottom w:val="nil"/>
              <w:right w:val="nil"/>
            </w:tcBorders>
          </w:tcPr>
          <w:p w14:paraId="109A7B82" w14:textId="0E6A410C" w:rsidR="00461F35" w:rsidRPr="00884064" w:rsidRDefault="00461F35" w:rsidP="00461F35">
            <w:pPr>
              <w:pStyle w:val="Numbertablecolumnheading-leftaligned"/>
            </w:pPr>
            <w:r w:rsidRPr="007A6990">
              <w:t xml:space="preserve">Fatigue </w:t>
            </w:r>
          </w:p>
        </w:tc>
        <w:tc>
          <w:tcPr>
            <w:tcW w:w="635" w:type="pct"/>
            <w:tcBorders>
              <w:top w:val="nil"/>
              <w:left w:val="nil"/>
              <w:bottom w:val="nil"/>
              <w:right w:val="nil"/>
            </w:tcBorders>
          </w:tcPr>
          <w:p w14:paraId="1180D41D" w14:textId="5793F1D0" w:rsidR="00461F35" w:rsidRPr="00C11E00" w:rsidRDefault="00461F35" w:rsidP="00461F35">
            <w:pPr>
              <w:pStyle w:val="Numbertablecolumnheading-centered"/>
            </w:pPr>
            <w:r w:rsidRPr="00720BBD">
              <w:t>2</w:t>
            </w:r>
          </w:p>
        </w:tc>
        <w:tc>
          <w:tcPr>
            <w:tcW w:w="693" w:type="pct"/>
            <w:tcBorders>
              <w:top w:val="nil"/>
              <w:left w:val="nil"/>
              <w:bottom w:val="nil"/>
              <w:right w:val="nil"/>
            </w:tcBorders>
          </w:tcPr>
          <w:p w14:paraId="1656249E" w14:textId="50854D37" w:rsidR="00461F35" w:rsidRPr="00C11E00" w:rsidRDefault="00461F35" w:rsidP="00461F35">
            <w:pPr>
              <w:pStyle w:val="Numbertablecolumnheading-centered"/>
            </w:pPr>
            <w:r w:rsidRPr="00720BBD">
              <w:t>42,000</w:t>
            </w:r>
          </w:p>
        </w:tc>
        <w:tc>
          <w:tcPr>
            <w:tcW w:w="644" w:type="pct"/>
            <w:tcBorders>
              <w:top w:val="nil"/>
              <w:left w:val="nil"/>
              <w:bottom w:val="nil"/>
              <w:right w:val="nil"/>
            </w:tcBorders>
          </w:tcPr>
          <w:p w14:paraId="01C79134" w14:textId="29C1EE74" w:rsidR="00461F35" w:rsidRPr="00C11E00" w:rsidRDefault="00461F35" w:rsidP="00461F35">
            <w:pPr>
              <w:pStyle w:val="Numbertablecolumnheading-centered"/>
            </w:pPr>
            <w:r w:rsidRPr="00720BBD">
              <w:t>2</w:t>
            </w:r>
          </w:p>
        </w:tc>
        <w:tc>
          <w:tcPr>
            <w:tcW w:w="684" w:type="pct"/>
            <w:tcBorders>
              <w:top w:val="nil"/>
              <w:left w:val="nil"/>
              <w:bottom w:val="nil"/>
              <w:right w:val="nil"/>
            </w:tcBorders>
          </w:tcPr>
          <w:p w14:paraId="601A1629" w14:textId="769F81BF" w:rsidR="00461F35" w:rsidRPr="00C11E00" w:rsidRDefault="00461F35" w:rsidP="00461F35">
            <w:pPr>
              <w:pStyle w:val="Numbertablecolumnheading-centered"/>
            </w:pPr>
            <w:r w:rsidRPr="00720BBD">
              <w:t>28,000</w:t>
            </w:r>
          </w:p>
        </w:tc>
        <w:tc>
          <w:tcPr>
            <w:tcW w:w="652" w:type="pct"/>
            <w:tcBorders>
              <w:top w:val="nil"/>
              <w:left w:val="nil"/>
              <w:bottom w:val="nil"/>
              <w:right w:val="nil"/>
            </w:tcBorders>
          </w:tcPr>
          <w:p w14:paraId="63D10B6C" w14:textId="483F0217" w:rsidR="00461F35" w:rsidRPr="00C11E00" w:rsidRDefault="00461F35" w:rsidP="00461F35">
            <w:pPr>
              <w:pStyle w:val="Numbertablecolumnheading-centered"/>
            </w:pPr>
            <w:r w:rsidRPr="00720BBD">
              <w:t>2</w:t>
            </w:r>
          </w:p>
        </w:tc>
        <w:tc>
          <w:tcPr>
            <w:tcW w:w="679" w:type="pct"/>
            <w:tcBorders>
              <w:top w:val="nil"/>
              <w:left w:val="nil"/>
              <w:bottom w:val="nil"/>
              <w:right w:val="single" w:sz="4" w:space="0" w:color="auto"/>
            </w:tcBorders>
          </w:tcPr>
          <w:p w14:paraId="65B0079F" w14:textId="1A457ACB" w:rsidR="00461F35" w:rsidRPr="00C11E00" w:rsidRDefault="00461F35" w:rsidP="00461F35">
            <w:pPr>
              <w:pStyle w:val="Numbertablecolumnheading-centered"/>
            </w:pPr>
            <w:r w:rsidRPr="00720BBD">
              <w:t>20,000</w:t>
            </w:r>
          </w:p>
        </w:tc>
      </w:tr>
      <w:tr w:rsidR="00461F35" w14:paraId="26EBA2DF" w14:textId="77777777" w:rsidTr="3524BD2A">
        <w:trPr>
          <w:trHeight w:val="284"/>
        </w:trPr>
        <w:tc>
          <w:tcPr>
            <w:tcW w:w="1013" w:type="pct"/>
            <w:tcBorders>
              <w:top w:val="nil"/>
              <w:left w:val="single" w:sz="4" w:space="0" w:color="auto"/>
              <w:bottom w:val="single" w:sz="4" w:space="0" w:color="auto"/>
              <w:right w:val="nil"/>
            </w:tcBorders>
          </w:tcPr>
          <w:p w14:paraId="27B534B6" w14:textId="39A36011" w:rsidR="00461F35" w:rsidRPr="00BB1E87" w:rsidRDefault="00461F35" w:rsidP="00461F35">
            <w:pPr>
              <w:pStyle w:val="Numbertablecolumnheading-leftaligned"/>
            </w:pPr>
            <w:r w:rsidRPr="007A6990">
              <w:t xml:space="preserve">Total </w:t>
            </w:r>
          </w:p>
        </w:tc>
        <w:tc>
          <w:tcPr>
            <w:tcW w:w="635" w:type="pct"/>
            <w:tcBorders>
              <w:top w:val="nil"/>
              <w:left w:val="nil"/>
              <w:bottom w:val="single" w:sz="4" w:space="0" w:color="auto"/>
              <w:right w:val="nil"/>
            </w:tcBorders>
          </w:tcPr>
          <w:p w14:paraId="6DB3E77B" w14:textId="270759CD" w:rsidR="00461F35" w:rsidRPr="008C60EC" w:rsidRDefault="00461F35" w:rsidP="00461F35">
            <w:pPr>
              <w:pStyle w:val="Numbertablecolumnheading-centered"/>
            </w:pPr>
            <w:r w:rsidRPr="00720BBD">
              <w:t>12</w:t>
            </w:r>
          </w:p>
        </w:tc>
        <w:tc>
          <w:tcPr>
            <w:tcW w:w="693" w:type="pct"/>
            <w:tcBorders>
              <w:top w:val="nil"/>
              <w:left w:val="nil"/>
              <w:bottom w:val="single" w:sz="4" w:space="0" w:color="auto"/>
              <w:right w:val="nil"/>
            </w:tcBorders>
          </w:tcPr>
          <w:p w14:paraId="29C450D2" w14:textId="653051FD" w:rsidR="00461F35" w:rsidRPr="008C60EC" w:rsidRDefault="00461F35" w:rsidP="00461F35">
            <w:pPr>
              <w:pStyle w:val="Numbertablecolumnheading-centered"/>
            </w:pPr>
            <w:r w:rsidRPr="00720BBD">
              <w:t>254,000</w:t>
            </w:r>
          </w:p>
        </w:tc>
        <w:tc>
          <w:tcPr>
            <w:tcW w:w="644" w:type="pct"/>
            <w:tcBorders>
              <w:top w:val="nil"/>
              <w:left w:val="nil"/>
              <w:bottom w:val="single" w:sz="4" w:space="0" w:color="auto"/>
              <w:right w:val="nil"/>
            </w:tcBorders>
          </w:tcPr>
          <w:p w14:paraId="6B5D5AEF" w14:textId="1767F7F6" w:rsidR="00461F35" w:rsidRPr="008C60EC" w:rsidRDefault="00461F35" w:rsidP="00461F35">
            <w:pPr>
              <w:pStyle w:val="Numbertablecolumnheading-centered"/>
            </w:pPr>
            <w:r w:rsidRPr="00720BBD">
              <w:t>17</w:t>
            </w:r>
          </w:p>
        </w:tc>
        <w:tc>
          <w:tcPr>
            <w:tcW w:w="684" w:type="pct"/>
            <w:tcBorders>
              <w:top w:val="nil"/>
              <w:left w:val="nil"/>
              <w:bottom w:val="single" w:sz="4" w:space="0" w:color="auto"/>
              <w:right w:val="nil"/>
            </w:tcBorders>
          </w:tcPr>
          <w:p w14:paraId="77766A13" w14:textId="45C929C4" w:rsidR="00461F35" w:rsidRPr="008C60EC" w:rsidRDefault="00461F35" w:rsidP="00461F35">
            <w:pPr>
              <w:pStyle w:val="Numbertablecolumnheading-centered"/>
            </w:pPr>
            <w:r w:rsidRPr="00720BBD">
              <w:t>216,000</w:t>
            </w:r>
          </w:p>
        </w:tc>
        <w:tc>
          <w:tcPr>
            <w:tcW w:w="652" w:type="pct"/>
            <w:tcBorders>
              <w:top w:val="nil"/>
              <w:left w:val="nil"/>
              <w:bottom w:val="single" w:sz="4" w:space="0" w:color="auto"/>
              <w:right w:val="nil"/>
            </w:tcBorders>
          </w:tcPr>
          <w:p w14:paraId="14D0406F" w14:textId="22BE016C" w:rsidR="00461F35" w:rsidRPr="008C60EC" w:rsidRDefault="00461F35" w:rsidP="00461F35">
            <w:pPr>
              <w:pStyle w:val="Numbertablecolumnheading-centered"/>
            </w:pPr>
            <w:r w:rsidRPr="00720BBD">
              <w:t>35</w:t>
            </w:r>
          </w:p>
        </w:tc>
        <w:tc>
          <w:tcPr>
            <w:tcW w:w="679" w:type="pct"/>
            <w:tcBorders>
              <w:top w:val="nil"/>
              <w:left w:val="nil"/>
              <w:bottom w:val="single" w:sz="4" w:space="0" w:color="auto"/>
              <w:right w:val="single" w:sz="4" w:space="0" w:color="auto"/>
            </w:tcBorders>
          </w:tcPr>
          <w:p w14:paraId="14449A99" w14:textId="0BB653F0" w:rsidR="00461F35" w:rsidRPr="008C60EC" w:rsidRDefault="00461F35" w:rsidP="00461F35">
            <w:pPr>
              <w:pStyle w:val="Numbertablecolumnheading-centered"/>
            </w:pPr>
            <w:r w:rsidRPr="00720BBD">
              <w:t>283,000</w:t>
            </w:r>
          </w:p>
        </w:tc>
      </w:tr>
      <w:tr w:rsidR="00461F35" w14:paraId="44EDEDAD" w14:textId="77777777" w:rsidTr="3524BD2A">
        <w:trPr>
          <w:trHeight w:val="284"/>
        </w:trPr>
        <w:tc>
          <w:tcPr>
            <w:tcW w:w="5000" w:type="pct"/>
            <w:gridSpan w:val="7"/>
            <w:tcBorders>
              <w:top w:val="single" w:sz="4" w:space="0" w:color="auto"/>
              <w:left w:val="single" w:sz="4" w:space="0" w:color="auto"/>
              <w:right w:val="single" w:sz="4" w:space="0" w:color="auto"/>
            </w:tcBorders>
            <w:vAlign w:val="center"/>
          </w:tcPr>
          <w:p w14:paraId="2055BA18" w14:textId="44F69DC8" w:rsidR="00461F35" w:rsidRDefault="00E73F15" w:rsidP="00461F35">
            <w:pPr>
              <w:pStyle w:val="Numbertablecolumnheading-centered"/>
              <w:jc w:val="left"/>
            </w:pPr>
            <w:r>
              <w:t>Adults</w:t>
            </w:r>
            <w:r w:rsidR="00461F35" w:rsidRPr="00010257">
              <w:t xml:space="preserve"> </w:t>
            </w:r>
            <w:r w:rsidR="00461F35">
              <w:t>with functional difficulties in more than one domain were counted in each</w:t>
            </w:r>
            <w:r w:rsidR="00461F35" w:rsidRPr="00010257">
              <w:t>.</w:t>
            </w:r>
          </w:p>
          <w:p w14:paraId="6F05CA43" w14:textId="56CD6DEA" w:rsidR="0005543B" w:rsidRDefault="7D534EAA" w:rsidP="00CC438F">
            <w:pPr>
              <w:pStyle w:val="Numbertablecolumnheading-centered"/>
              <w:jc w:val="left"/>
            </w:pPr>
            <w:r w:rsidRPr="3524BD2A">
              <w:t>D</w:t>
            </w:r>
            <w:r w:rsidR="4EBAC554" w:rsidRPr="3524BD2A">
              <w:t xml:space="preserve">omains </w:t>
            </w:r>
            <w:r w:rsidR="7395E0C7" w:rsidRPr="3524BD2A">
              <w:t>that</w:t>
            </w:r>
            <w:r w:rsidR="440C60D8" w:rsidRPr="3524BD2A">
              <w:t xml:space="preserve"> </w:t>
            </w:r>
            <w:r w:rsidR="7AFD63B7" w:rsidRPr="3524BD2A">
              <w:t>had</w:t>
            </w:r>
            <w:r w:rsidR="7395E0C7" w:rsidRPr="3524BD2A">
              <w:t xml:space="preserve"> disability</w:t>
            </w:r>
            <w:r w:rsidR="7AFD63B7" w:rsidRPr="3524BD2A">
              <w:t xml:space="preserve"> rates </w:t>
            </w:r>
            <w:r w:rsidR="3C725768" w:rsidRPr="3524BD2A">
              <w:t>which</w:t>
            </w:r>
            <w:r w:rsidR="7AFD63B7" w:rsidRPr="3524BD2A">
              <w:t xml:space="preserve"> </w:t>
            </w:r>
            <w:r w:rsidR="47CE0180" w:rsidRPr="3524BD2A">
              <w:t xml:space="preserve">increased with </w:t>
            </w:r>
            <w:r w:rsidR="7AFD63B7" w:rsidRPr="3524BD2A">
              <w:t>age</w:t>
            </w:r>
            <w:r w:rsidR="47CE0180" w:rsidRPr="3524BD2A">
              <w:t xml:space="preserve"> are listed </w:t>
            </w:r>
            <w:r w:rsidR="3C725768" w:rsidRPr="3524BD2A">
              <w:t>first</w:t>
            </w:r>
            <w:r w:rsidRPr="3524BD2A">
              <w:t>,</w:t>
            </w:r>
            <w:r w:rsidR="3C725768" w:rsidRPr="3524BD2A">
              <w:t xml:space="preserve"> </w:t>
            </w:r>
            <w:r w:rsidR="69ED87AD" w:rsidRPr="3524BD2A">
              <w:t>by size of the increase</w:t>
            </w:r>
            <w:r w:rsidR="30684E8A" w:rsidRPr="3524BD2A">
              <w:t>,</w:t>
            </w:r>
            <w:r w:rsidR="1C931749" w:rsidRPr="3524BD2A">
              <w:t xml:space="preserve"> followed by domains that decrease</w:t>
            </w:r>
            <w:r w:rsidR="0CC7A37C" w:rsidRPr="3524BD2A">
              <w:t>d</w:t>
            </w:r>
            <w:r w:rsidR="1C931749" w:rsidRPr="3524BD2A">
              <w:t xml:space="preserve"> with </w:t>
            </w:r>
            <w:r w:rsidR="0CC7A37C" w:rsidRPr="3524BD2A">
              <w:t>age</w:t>
            </w:r>
            <w:r w:rsidR="0F88125E" w:rsidRPr="3524BD2A">
              <w:t>,</w:t>
            </w:r>
            <w:r w:rsidR="61AAB1C7" w:rsidRPr="3524BD2A">
              <w:t xml:space="preserve"> and</w:t>
            </w:r>
            <w:r w:rsidR="0CC7A37C" w:rsidRPr="3524BD2A">
              <w:t xml:space="preserve"> </w:t>
            </w:r>
            <w:r w:rsidR="0F88125E" w:rsidRPr="3524BD2A">
              <w:t>then</w:t>
            </w:r>
            <w:r w:rsidR="1C931749" w:rsidRPr="3524BD2A">
              <w:t xml:space="preserve"> domains that </w:t>
            </w:r>
            <w:r w:rsidR="0CC7A37C" w:rsidRPr="3524BD2A">
              <w:t>didn’t</w:t>
            </w:r>
            <w:r w:rsidR="1C931749" w:rsidRPr="3524BD2A">
              <w:t xml:space="preserve"> show age effects. </w:t>
            </w:r>
          </w:p>
          <w:p w14:paraId="37975D95" w14:textId="77777777" w:rsidR="00461F35" w:rsidRPr="008C60EC" w:rsidRDefault="00461F35" w:rsidP="00461F35">
            <w:pPr>
              <w:pStyle w:val="Numbertablecolumnheading-centered"/>
              <w:jc w:val="left"/>
            </w:pPr>
            <w:r w:rsidRPr="4A07F070">
              <w:rPr>
                <w:b/>
              </w:rPr>
              <w:t>Source</w:t>
            </w:r>
            <w:r>
              <w:t>: Stats NZ</w:t>
            </w:r>
          </w:p>
        </w:tc>
      </w:tr>
    </w:tbl>
    <w:p w14:paraId="7C1ADD34" w14:textId="0E9D9211" w:rsidR="00527E70" w:rsidRDefault="00527E70" w:rsidP="00527E70">
      <w:pPr>
        <w:pStyle w:val="Heading3"/>
      </w:pPr>
      <w:bookmarkStart w:id="122" w:name="_Toc187762883"/>
      <w:bookmarkStart w:id="123" w:name="_Toc187763844"/>
      <w:bookmarkStart w:id="124" w:name="_Toc190856847"/>
      <w:r>
        <w:t>5.1.</w:t>
      </w:r>
      <w:r w:rsidR="004B601A">
        <w:t>3</w:t>
      </w:r>
      <w:r>
        <w:t xml:space="preserve"> By ethic group</w:t>
      </w:r>
      <w:bookmarkEnd w:id="122"/>
      <w:bookmarkEnd w:id="123"/>
      <w:bookmarkEnd w:id="124"/>
      <w:r>
        <w:t xml:space="preserve"> </w:t>
      </w:r>
    </w:p>
    <w:p w14:paraId="41AF256D" w14:textId="30AE832F" w:rsidR="00563353" w:rsidRDefault="00563353" w:rsidP="00563353">
      <w:r>
        <w:t>D</w:t>
      </w:r>
      <w:r w:rsidRPr="005A7908">
        <w:t xml:space="preserve">isability rates </w:t>
      </w:r>
      <w:r>
        <w:t>in adult functional domains showed differences by ethnic group.</w:t>
      </w:r>
      <w:r w:rsidR="00A02E1C">
        <w:t xml:space="preserve"> </w:t>
      </w:r>
    </w:p>
    <w:p w14:paraId="21B3415D" w14:textId="13A0567A" w:rsidR="00BD0876" w:rsidRDefault="00563353" w:rsidP="00563353">
      <w:r>
        <w:t xml:space="preserve">Māori adults had significantly higher rates than </w:t>
      </w:r>
      <w:r w:rsidR="0006485F">
        <w:t xml:space="preserve">the </w:t>
      </w:r>
      <w:r w:rsidR="0040135C">
        <w:t xml:space="preserve">national </w:t>
      </w:r>
      <w:r w:rsidR="00A202E3">
        <w:t xml:space="preserve">adult </w:t>
      </w:r>
      <w:r w:rsidR="0006485F">
        <w:t xml:space="preserve">rate </w:t>
      </w:r>
      <w:r w:rsidR="00CA1C53">
        <w:t>(</w:t>
      </w:r>
      <w:r>
        <w:t>all adults</w:t>
      </w:r>
      <w:r w:rsidR="00CA1C53">
        <w:t>)</w:t>
      </w:r>
      <w:r>
        <w:t xml:space="preserve"> for five out of the eight domains</w:t>
      </w:r>
      <w:r w:rsidR="00910127">
        <w:t xml:space="preserve">: </w:t>
      </w:r>
    </w:p>
    <w:p w14:paraId="140C9767" w14:textId="330FA3F9" w:rsidR="00F60DE1" w:rsidRDefault="005777C0" w:rsidP="00F60DE1">
      <w:pPr>
        <w:pStyle w:val="ListParagraph"/>
        <w:numPr>
          <w:ilvl w:val="0"/>
          <w:numId w:val="25"/>
        </w:numPr>
      </w:pPr>
      <w:r>
        <w:t>c</w:t>
      </w:r>
      <w:r w:rsidR="00563353">
        <w:t>ognition</w:t>
      </w:r>
      <w:r w:rsidR="00BD0876">
        <w:t xml:space="preserve"> –</w:t>
      </w:r>
      <w:r w:rsidR="00F60DE1">
        <w:t xml:space="preserve"> 8 percent </w:t>
      </w:r>
      <w:r w:rsidR="0057461F">
        <w:t xml:space="preserve">for </w:t>
      </w:r>
      <w:r w:rsidR="00935388">
        <w:t>Māori</w:t>
      </w:r>
      <w:r w:rsidR="0057461F">
        <w:t xml:space="preserve"> adults and</w:t>
      </w:r>
      <w:r w:rsidR="00F60DE1">
        <w:t xml:space="preserve"> 4 percent </w:t>
      </w:r>
      <w:r w:rsidR="00935388">
        <w:t xml:space="preserve">for </w:t>
      </w:r>
      <w:r w:rsidR="00ED74BC">
        <w:t xml:space="preserve">all </w:t>
      </w:r>
      <w:r w:rsidR="00935388">
        <w:t>adults</w:t>
      </w:r>
    </w:p>
    <w:p w14:paraId="52B75889" w14:textId="60FE3F71" w:rsidR="00F60DE1" w:rsidRDefault="005777C0" w:rsidP="00F60DE1">
      <w:pPr>
        <w:pStyle w:val="ListParagraph"/>
        <w:numPr>
          <w:ilvl w:val="0"/>
          <w:numId w:val="25"/>
        </w:numPr>
      </w:pPr>
      <w:r>
        <w:t>m</w:t>
      </w:r>
      <w:r w:rsidR="00F60DE1">
        <w:t xml:space="preserve">ental health – 6 percent </w:t>
      </w:r>
      <w:r w:rsidR="00274A6E">
        <w:t>and</w:t>
      </w:r>
      <w:r w:rsidR="00F60DE1">
        <w:t xml:space="preserve"> 3 percent </w:t>
      </w:r>
      <w:r w:rsidR="00AC3987">
        <w:t>respectively</w:t>
      </w:r>
    </w:p>
    <w:p w14:paraId="638D6533" w14:textId="658051F0" w:rsidR="00F60DE1" w:rsidRDefault="005777C0" w:rsidP="00F60DE1">
      <w:pPr>
        <w:pStyle w:val="ListParagraph"/>
        <w:numPr>
          <w:ilvl w:val="0"/>
          <w:numId w:val="25"/>
        </w:numPr>
      </w:pPr>
      <w:r>
        <w:t>s</w:t>
      </w:r>
      <w:r w:rsidR="00F60DE1">
        <w:t xml:space="preserve">ocialising – 6 percent </w:t>
      </w:r>
      <w:r w:rsidR="00274A6E">
        <w:t>and</w:t>
      </w:r>
      <w:r w:rsidR="00F60DE1">
        <w:t xml:space="preserve"> 3 percent </w:t>
      </w:r>
      <w:r w:rsidR="00AC3987">
        <w:t>respectively</w:t>
      </w:r>
    </w:p>
    <w:p w14:paraId="6873912D" w14:textId="7440A0DD" w:rsidR="00F60DE1" w:rsidRDefault="005777C0" w:rsidP="00F60DE1">
      <w:pPr>
        <w:pStyle w:val="ListParagraph"/>
        <w:numPr>
          <w:ilvl w:val="0"/>
          <w:numId w:val="25"/>
        </w:numPr>
      </w:pPr>
      <w:r>
        <w:t>f</w:t>
      </w:r>
      <w:r w:rsidR="00F60DE1">
        <w:t xml:space="preserve">atigue – 3 percent </w:t>
      </w:r>
      <w:r w:rsidR="00274A6E">
        <w:t>and</w:t>
      </w:r>
      <w:r w:rsidR="00F60DE1">
        <w:t xml:space="preserve"> 2 percent</w:t>
      </w:r>
      <w:r w:rsidR="00AC3987" w:rsidRPr="00AC3987">
        <w:t xml:space="preserve"> </w:t>
      </w:r>
      <w:r w:rsidR="00AC3987">
        <w:t>respectively</w:t>
      </w:r>
    </w:p>
    <w:p w14:paraId="1ADF34EF" w14:textId="2782476D" w:rsidR="00BD0876" w:rsidRDefault="08C31845" w:rsidP="00F60DE1">
      <w:pPr>
        <w:pStyle w:val="ListParagraph"/>
        <w:numPr>
          <w:ilvl w:val="0"/>
          <w:numId w:val="25"/>
        </w:numPr>
      </w:pPr>
      <w:r w:rsidRPr="3524BD2A">
        <w:t>o</w:t>
      </w:r>
      <w:r w:rsidR="0B8D35FA" w:rsidRPr="3524BD2A">
        <w:t xml:space="preserve">ther – 4 percent </w:t>
      </w:r>
      <w:r w:rsidR="1F9A3250" w:rsidRPr="3524BD2A">
        <w:t>and</w:t>
      </w:r>
      <w:r w:rsidR="0B8D35FA" w:rsidRPr="3524BD2A">
        <w:t xml:space="preserve"> 3 percent</w:t>
      </w:r>
      <w:r w:rsidR="093BDF53" w:rsidRPr="3524BD2A">
        <w:t xml:space="preserve"> respectively</w:t>
      </w:r>
      <w:r w:rsidR="0B8D35FA" w:rsidRPr="3524BD2A">
        <w:t>.</w:t>
      </w:r>
    </w:p>
    <w:p w14:paraId="1DEF8E92" w14:textId="5425950F" w:rsidR="00BD0876" w:rsidRDefault="0010164C" w:rsidP="00563353">
      <w:r w:rsidRPr="005A7908">
        <w:t xml:space="preserve">For </w:t>
      </w:r>
      <w:r w:rsidR="00B4656E">
        <w:t>Asian adults</w:t>
      </w:r>
      <w:r w:rsidRPr="005A7908">
        <w:t xml:space="preserve">, disability rates were significantly lower </w:t>
      </w:r>
      <w:r>
        <w:t xml:space="preserve">than those for the total adult population </w:t>
      </w:r>
      <w:r w:rsidRPr="005A7908">
        <w:t xml:space="preserve">in all </w:t>
      </w:r>
      <w:r>
        <w:t xml:space="preserve">functional </w:t>
      </w:r>
      <w:r w:rsidRPr="005A7908">
        <w:t>domains.</w:t>
      </w:r>
    </w:p>
    <w:p w14:paraId="25E94EFE" w14:textId="534F5F8C" w:rsidR="0010164C" w:rsidRDefault="0010164C" w:rsidP="00563353">
      <w:r>
        <w:t>For Pacific adults</w:t>
      </w:r>
      <w:r w:rsidR="00BD0876">
        <w:t>,</w:t>
      </w:r>
      <w:r>
        <w:t xml:space="preserve"> </w:t>
      </w:r>
      <w:r w:rsidDel="00DF490F">
        <w:t xml:space="preserve">no </w:t>
      </w:r>
      <w:r>
        <w:t>domain</w:t>
      </w:r>
      <w:r w:rsidDel="00DF490F">
        <w:t>s</w:t>
      </w:r>
      <w:r>
        <w:t xml:space="preserve"> were significantly different from the national adult rates</w:t>
      </w:r>
      <w:r w:rsidDel="00741D58">
        <w:t xml:space="preserve"> except for pain which</w:t>
      </w:r>
      <w:r>
        <w:t xml:space="preserve"> was lower for Pacific adults</w:t>
      </w:r>
      <w:r w:rsidR="00EF1DC0">
        <w:t xml:space="preserve"> (2 percent for Pacific adults </w:t>
      </w:r>
      <w:r w:rsidR="00EF1DC0" w:rsidDel="00EA7666">
        <w:t xml:space="preserve">and </w:t>
      </w:r>
      <w:r w:rsidR="00EF1DC0">
        <w:t>3 percent for adults nationally)</w:t>
      </w:r>
      <w:r>
        <w:t>.</w:t>
      </w:r>
    </w:p>
    <w:p w14:paraId="102C4D5E" w14:textId="0A59940D" w:rsidR="00563353" w:rsidRDefault="00563353" w:rsidP="00563353">
      <w:r>
        <w:t xml:space="preserve">European </w:t>
      </w:r>
      <w:r w:rsidR="00EA7666">
        <w:t>wa</w:t>
      </w:r>
      <w:r>
        <w:t>s the largest ethnic group, so rates for this group dr</w:t>
      </w:r>
      <w:r w:rsidR="00EA7666">
        <w:t>o</w:t>
      </w:r>
      <w:r>
        <w:t>ve the overall adult domain rates.</w:t>
      </w:r>
      <w:r w:rsidR="00A02E1C">
        <w:t xml:space="preserve"> </w:t>
      </w:r>
      <w:r>
        <w:t>For all domains combined</w:t>
      </w:r>
      <w:r w:rsidR="00DA3372">
        <w:t>,</w:t>
      </w:r>
      <w:r>
        <w:t xml:space="preserve"> there </w:t>
      </w:r>
      <w:r w:rsidR="00137618">
        <w:t>wa</w:t>
      </w:r>
      <w:r>
        <w:t>s enough data to show that the disability rate for European adults was significantly higher than the national adult rate.</w:t>
      </w:r>
      <w:r w:rsidR="007371BD" w:rsidRPr="007371BD">
        <w:t xml:space="preserve"> No individual domain was significantly different from the national adult rates</w:t>
      </w:r>
      <w:r w:rsidR="00175A06">
        <w:t>.</w:t>
      </w:r>
    </w:p>
    <w:p w14:paraId="22BD7F1F" w14:textId="76EF7D78" w:rsidR="0010164C" w:rsidRDefault="001F13FA" w:rsidP="00563353">
      <w:r>
        <w:t>For</w:t>
      </w:r>
      <w:r w:rsidR="00E408A8">
        <w:t xml:space="preserve"> more detail on domain rates by ethnic group</w:t>
      </w:r>
      <w:r>
        <w:t xml:space="preserve">, </w:t>
      </w:r>
      <w:r w:rsidRPr="009C5E4F">
        <w:t xml:space="preserve">see the </w:t>
      </w:r>
      <w:r>
        <w:t xml:space="preserve">Excel tables available for download </w:t>
      </w:r>
      <w:r w:rsidR="002B495A">
        <w:t xml:space="preserve">from </w:t>
      </w:r>
      <w:hyperlink r:id="rId36" w:history="1">
        <w:r w:rsidR="00323BB2" w:rsidRPr="00D2238A">
          <w:rPr>
            <w:rStyle w:val="Hyperlink"/>
            <w:rFonts w:ascii="Calibri" w:hAnsi="Calibri"/>
          </w:rPr>
          <w:t>Disability statistics: 2023</w:t>
        </w:r>
      </w:hyperlink>
      <w:r w:rsidR="002B495A">
        <w:t>.</w:t>
      </w:r>
    </w:p>
    <w:p w14:paraId="6747B7F8" w14:textId="6FCC753E" w:rsidR="00563353" w:rsidRDefault="00563353" w:rsidP="00563353">
      <w:pPr>
        <w:pStyle w:val="Heading3"/>
      </w:pPr>
      <w:bookmarkStart w:id="125" w:name="_Toc187762884"/>
      <w:bookmarkStart w:id="126" w:name="_Toc187763845"/>
      <w:bookmarkStart w:id="127" w:name="_Toc190856848"/>
      <w:r>
        <w:t>5.1.</w:t>
      </w:r>
      <w:r w:rsidR="004B601A">
        <w:t>4</w:t>
      </w:r>
      <w:r>
        <w:t xml:space="preserve"> By </w:t>
      </w:r>
      <w:r w:rsidR="004B601A">
        <w:t>LGBTIQ+</w:t>
      </w:r>
      <w:r>
        <w:t xml:space="preserve"> </w:t>
      </w:r>
      <w:bookmarkEnd w:id="125"/>
      <w:bookmarkEnd w:id="126"/>
      <w:r w:rsidR="009E5FEC">
        <w:t>status</w:t>
      </w:r>
      <w:bookmarkEnd w:id="127"/>
      <w:r>
        <w:t xml:space="preserve"> </w:t>
      </w:r>
    </w:p>
    <w:p w14:paraId="3E2F6654" w14:textId="605DEEBE" w:rsidR="00616BC1" w:rsidRDefault="001D6737" w:rsidP="001D6737">
      <w:pPr>
        <w:rPr>
          <w:rFonts w:eastAsia="DengXian" w:cs="Cordia New"/>
        </w:rPr>
      </w:pPr>
      <w:r>
        <w:t xml:space="preserve">There were </w:t>
      </w:r>
      <w:r w:rsidR="00616BC1">
        <w:t xml:space="preserve">five </w:t>
      </w:r>
      <w:r>
        <w:t xml:space="preserve">domains in which the LGBTIQ+ population had significantly higher disability rates than the non-LGBTIQ+ population. </w:t>
      </w:r>
      <w:r w:rsidRPr="00AC6CEC">
        <w:rPr>
          <w:rFonts w:eastAsia="DengXian" w:cs="Cordia New"/>
        </w:rPr>
        <w:t xml:space="preserve">These were: </w:t>
      </w:r>
    </w:p>
    <w:p w14:paraId="374A7993" w14:textId="60E0F652" w:rsidR="00616BC1" w:rsidRPr="00744DFB" w:rsidRDefault="005777C0" w:rsidP="00616BC1">
      <w:pPr>
        <w:pStyle w:val="ListParagraph"/>
        <w:numPr>
          <w:ilvl w:val="0"/>
          <w:numId w:val="26"/>
        </w:numPr>
        <w:spacing w:after="160" w:line="259" w:lineRule="auto"/>
      </w:pPr>
      <w:r>
        <w:t>c</w:t>
      </w:r>
      <w:r w:rsidR="00616BC1" w:rsidRPr="00744DFB">
        <w:t xml:space="preserve">ognition – 11 percent for the LGBTIQ+ population and 4 percent for the non-LGBTIQ+ population </w:t>
      </w:r>
    </w:p>
    <w:p w14:paraId="3F26CF33" w14:textId="59398F38" w:rsidR="00616BC1" w:rsidRPr="00744DFB" w:rsidRDefault="005777C0" w:rsidP="00616BC1">
      <w:pPr>
        <w:pStyle w:val="ListParagraph"/>
        <w:numPr>
          <w:ilvl w:val="0"/>
          <w:numId w:val="26"/>
        </w:numPr>
        <w:spacing w:after="160" w:line="259" w:lineRule="auto"/>
      </w:pPr>
      <w:r>
        <w:t>m</w:t>
      </w:r>
      <w:r w:rsidR="00616BC1" w:rsidRPr="00744DFB">
        <w:t>ental health – 10 percent and 3 percent</w:t>
      </w:r>
      <w:r w:rsidR="00AC3987" w:rsidRPr="00AC3987">
        <w:t xml:space="preserve"> </w:t>
      </w:r>
      <w:r w:rsidR="00AC3987">
        <w:t>respectively</w:t>
      </w:r>
    </w:p>
    <w:p w14:paraId="4EE7A65A" w14:textId="7F560251" w:rsidR="00616BC1" w:rsidRPr="00744DFB" w:rsidRDefault="005777C0" w:rsidP="00616BC1">
      <w:pPr>
        <w:pStyle w:val="ListParagraph"/>
        <w:numPr>
          <w:ilvl w:val="0"/>
          <w:numId w:val="26"/>
        </w:numPr>
        <w:spacing w:after="160" w:line="259" w:lineRule="auto"/>
      </w:pPr>
      <w:r>
        <w:t>s</w:t>
      </w:r>
      <w:r w:rsidR="00616BC1" w:rsidRPr="00744DFB">
        <w:t>ocialising – 8 percent and 3 percent</w:t>
      </w:r>
      <w:r w:rsidR="00AC3987" w:rsidRPr="00AC3987">
        <w:t xml:space="preserve"> </w:t>
      </w:r>
      <w:r w:rsidR="00AC3987">
        <w:t>respectively</w:t>
      </w:r>
    </w:p>
    <w:p w14:paraId="27E5A7D5" w14:textId="7192F2A7" w:rsidR="00616BC1" w:rsidRPr="00744DFB" w:rsidRDefault="005777C0" w:rsidP="00616BC1">
      <w:pPr>
        <w:pStyle w:val="ListParagraph"/>
        <w:numPr>
          <w:ilvl w:val="0"/>
          <w:numId w:val="26"/>
        </w:numPr>
        <w:spacing w:after="160" w:line="259" w:lineRule="auto"/>
      </w:pPr>
      <w:r>
        <w:t>s</w:t>
      </w:r>
      <w:r w:rsidR="00616BC1" w:rsidRPr="00744DFB">
        <w:t>ensory – 8 percent and 5 percent</w:t>
      </w:r>
      <w:r w:rsidR="00AC3987" w:rsidRPr="00AC3987">
        <w:t xml:space="preserve"> </w:t>
      </w:r>
      <w:r w:rsidR="00AC3987">
        <w:t>respectively</w:t>
      </w:r>
    </w:p>
    <w:p w14:paraId="306467C1" w14:textId="60B7ECF5" w:rsidR="00616BC1" w:rsidRPr="00744DFB" w:rsidRDefault="08C31845" w:rsidP="00616BC1">
      <w:pPr>
        <w:pStyle w:val="ListParagraph"/>
        <w:numPr>
          <w:ilvl w:val="0"/>
          <w:numId w:val="26"/>
        </w:numPr>
        <w:spacing w:after="160" w:line="259" w:lineRule="auto"/>
      </w:pPr>
      <w:r w:rsidRPr="3524BD2A">
        <w:t>f</w:t>
      </w:r>
      <w:r w:rsidR="046FC8EF" w:rsidRPr="3524BD2A">
        <w:t>atigue – 5 percent and 2 percent</w:t>
      </w:r>
      <w:r w:rsidR="093BDF53" w:rsidRPr="3524BD2A">
        <w:t xml:space="preserve"> respectively</w:t>
      </w:r>
      <w:r w:rsidR="68174189" w:rsidRPr="3524BD2A">
        <w:t>.</w:t>
      </w:r>
    </w:p>
    <w:p w14:paraId="768F30E6" w14:textId="0F3AC238" w:rsidR="004B601A" w:rsidRDefault="004B601A" w:rsidP="004B601A">
      <w:pPr>
        <w:pStyle w:val="Heading2"/>
      </w:pPr>
      <w:bookmarkStart w:id="128" w:name="_Toc187762885"/>
      <w:bookmarkStart w:id="129" w:name="_Toc187763575"/>
      <w:bookmarkStart w:id="130" w:name="_Toc187763846"/>
      <w:bookmarkStart w:id="131" w:name="_Toc190856849"/>
      <w:r>
        <w:t xml:space="preserve">5.2 </w:t>
      </w:r>
      <w:r w:rsidR="00D14529">
        <w:t>Functional domains for c</w:t>
      </w:r>
      <w:r>
        <w:t>hildren</w:t>
      </w:r>
      <w:bookmarkEnd w:id="128"/>
      <w:bookmarkEnd w:id="129"/>
      <w:bookmarkEnd w:id="130"/>
      <w:bookmarkEnd w:id="131"/>
      <w:r>
        <w:t xml:space="preserve"> </w:t>
      </w:r>
    </w:p>
    <w:p w14:paraId="478DD23A" w14:textId="15F2FA2B" w:rsidR="002D0D8C" w:rsidRDefault="639C1A94" w:rsidP="3524BD2A">
      <w:pPr>
        <w:rPr>
          <w:lang w:eastAsia="en-NZ"/>
        </w:rPr>
      </w:pPr>
      <w:r w:rsidRPr="3524BD2A">
        <w:rPr>
          <w:lang w:eastAsia="en-NZ"/>
        </w:rPr>
        <w:t>The functional domains used to count disabled children varied depending on the child’s age.</w:t>
      </w:r>
      <w:r w:rsidR="5D3B6FF3" w:rsidRPr="3524BD2A">
        <w:rPr>
          <w:lang w:eastAsia="en-NZ"/>
        </w:rPr>
        <w:t xml:space="preserve"> </w:t>
      </w:r>
      <w:r w:rsidRPr="3524BD2A">
        <w:rPr>
          <w:lang w:eastAsia="en-NZ"/>
        </w:rPr>
        <w:t xml:space="preserve">This is </w:t>
      </w:r>
      <w:r w:rsidR="276C0915" w:rsidRPr="3524BD2A">
        <w:rPr>
          <w:lang w:eastAsia="en-NZ"/>
        </w:rPr>
        <w:t>because</w:t>
      </w:r>
      <w:r w:rsidRPr="3524BD2A">
        <w:rPr>
          <w:lang w:eastAsia="en-NZ"/>
        </w:rPr>
        <w:t xml:space="preserve"> expectations </w:t>
      </w:r>
      <w:r w:rsidR="6DE8B5FA" w:rsidRPr="3524BD2A">
        <w:rPr>
          <w:lang w:eastAsia="en-NZ"/>
        </w:rPr>
        <w:t xml:space="preserve">of </w:t>
      </w:r>
      <w:r w:rsidRPr="3524BD2A">
        <w:rPr>
          <w:lang w:eastAsia="en-NZ"/>
        </w:rPr>
        <w:t xml:space="preserve">a child’s capacity to carry out activities </w:t>
      </w:r>
      <w:r w:rsidR="2CAF2818" w:rsidRPr="3524BD2A">
        <w:rPr>
          <w:lang w:eastAsia="en-NZ"/>
        </w:rPr>
        <w:t xml:space="preserve">changes </w:t>
      </w:r>
      <w:r w:rsidRPr="3524BD2A">
        <w:rPr>
          <w:lang w:eastAsia="en-NZ"/>
        </w:rPr>
        <w:t>as they</w:t>
      </w:r>
      <w:r w:rsidR="2B9BB604" w:rsidRPr="3524BD2A">
        <w:rPr>
          <w:lang w:eastAsia="en-NZ"/>
        </w:rPr>
        <w:t xml:space="preserve"> grow and</w:t>
      </w:r>
      <w:r w:rsidRPr="3524BD2A">
        <w:rPr>
          <w:lang w:eastAsia="en-NZ"/>
        </w:rPr>
        <w:t xml:space="preserve"> develop. The domains for children in table </w:t>
      </w:r>
      <w:r w:rsidR="710C9395" w:rsidRPr="3524BD2A">
        <w:rPr>
          <w:lang w:eastAsia="en-NZ"/>
        </w:rPr>
        <w:t xml:space="preserve">11 </w:t>
      </w:r>
      <w:r w:rsidRPr="3524BD2A">
        <w:rPr>
          <w:lang w:eastAsia="en-NZ"/>
        </w:rPr>
        <w:t xml:space="preserve">show the age range to which they apply. </w:t>
      </w:r>
    </w:p>
    <w:p w14:paraId="29882C5D" w14:textId="271541AF" w:rsidR="002D0D8C" w:rsidRDefault="002D0D8C" w:rsidP="002D0D8C">
      <w:pPr>
        <w:rPr>
          <w:lang w:eastAsia="en-NZ"/>
        </w:rPr>
      </w:pPr>
      <w:r>
        <w:rPr>
          <w:lang w:eastAsia="en-NZ"/>
        </w:rPr>
        <w:t xml:space="preserve">The domains with the highest rates of disability </w:t>
      </w:r>
      <w:r w:rsidR="00133FE5">
        <w:rPr>
          <w:lang w:eastAsia="en-NZ"/>
        </w:rPr>
        <w:t>among</w:t>
      </w:r>
      <w:r>
        <w:rPr>
          <w:lang w:eastAsia="en-NZ"/>
        </w:rPr>
        <w:t xml:space="preserve"> children were mental health (which included daily feelings of anxiety or depression) and accepting change to routine, with 5 percent of children counted as disabled in each of these. The making friends, controlling their own behaviour, and developmental delay domains each had similar rates between 3 and 4 percent </w:t>
      </w:r>
      <w:r w:rsidR="00847019">
        <w:rPr>
          <w:lang w:eastAsia="en-NZ"/>
        </w:rPr>
        <w:t>(</w:t>
      </w:r>
      <w:r>
        <w:rPr>
          <w:lang w:eastAsia="en-NZ"/>
        </w:rPr>
        <w:t>of appropriately aged children</w:t>
      </w:r>
      <w:r w:rsidR="00C7214B">
        <w:rPr>
          <w:lang w:eastAsia="en-NZ"/>
        </w:rPr>
        <w:t>)</w:t>
      </w:r>
      <w:r>
        <w:rPr>
          <w:lang w:eastAsia="en-NZ"/>
        </w:rPr>
        <w:t>. The remaining child domains</w:t>
      </w:r>
      <w:r w:rsidDel="0059051C">
        <w:rPr>
          <w:lang w:eastAsia="en-NZ"/>
        </w:rPr>
        <w:t xml:space="preserve"> </w:t>
      </w:r>
      <w:r>
        <w:rPr>
          <w:lang w:eastAsia="en-NZ"/>
        </w:rPr>
        <w:t xml:space="preserve">had disability rates of 2 percent or lower. </w:t>
      </w:r>
    </w:p>
    <w:p w14:paraId="59397EEA" w14:textId="24F18135" w:rsidR="00A504AE" w:rsidRPr="00E6628C" w:rsidRDefault="00A504AE" w:rsidP="00A504AE">
      <w:pPr>
        <w:pStyle w:val="Figureandtablenumbers"/>
        <w:spacing w:before="0"/>
      </w:pPr>
      <w:r>
        <w:t>Table 1</w:t>
      </w:r>
      <w:r w:rsidR="008E4A93">
        <w:t>1</w:t>
      </w:r>
    </w:p>
    <w:p w14:paraId="0DC6B9EB" w14:textId="10B7BCB8" w:rsidR="00A504AE" w:rsidRPr="000275D8" w:rsidRDefault="00A504AE" w:rsidP="00A504AE">
      <w:pPr>
        <w:pStyle w:val="Tabletitle-forhiding"/>
      </w:pPr>
      <w:bookmarkStart w:id="132" w:name="_Toc190426280"/>
      <w:r>
        <w:t>1</w:t>
      </w:r>
      <w:r w:rsidR="008E4A93">
        <w:t>1</w:t>
      </w:r>
      <w:r>
        <w:t xml:space="preserve"> Functional domain disability rates for children</w:t>
      </w:r>
      <w:bookmarkEnd w:id="132"/>
      <w:r>
        <w:t xml:space="preserve"> </w:t>
      </w:r>
    </w:p>
    <w:tbl>
      <w:tblPr>
        <w:tblW w:w="7083"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97"/>
        <w:gridCol w:w="1418"/>
        <w:gridCol w:w="2268"/>
      </w:tblGrid>
      <w:tr w:rsidR="00A504AE" w14:paraId="2594A906" w14:textId="77777777" w:rsidTr="009B1C87">
        <w:trPr>
          <w:trHeight w:val="420"/>
        </w:trPr>
        <w:tc>
          <w:tcPr>
            <w:tcW w:w="7083" w:type="dxa"/>
            <w:gridSpan w:val="3"/>
            <w:tcBorders>
              <w:left w:val="single" w:sz="4" w:space="0" w:color="auto"/>
              <w:right w:val="single" w:sz="4" w:space="0" w:color="auto"/>
            </w:tcBorders>
            <w:vAlign w:val="center"/>
          </w:tcPr>
          <w:p w14:paraId="1BD716DC" w14:textId="2F2546C6" w:rsidR="00A504AE" w:rsidRDefault="00A504AE" w:rsidP="009B1C87">
            <w:pPr>
              <w:pStyle w:val="Tabletitle1"/>
            </w:pPr>
            <w:r>
              <w:t xml:space="preserve">Functional domain disability rates for children </w:t>
            </w:r>
          </w:p>
        </w:tc>
      </w:tr>
      <w:tr w:rsidR="00F50B77" w14:paraId="6D767020" w14:textId="77777777" w:rsidTr="00F50B77">
        <w:trPr>
          <w:trHeight w:val="420"/>
        </w:trPr>
        <w:tc>
          <w:tcPr>
            <w:tcW w:w="3397" w:type="dxa"/>
            <w:tcBorders>
              <w:left w:val="single" w:sz="4" w:space="0" w:color="auto"/>
              <w:bottom w:val="single" w:sz="4" w:space="0" w:color="auto"/>
            </w:tcBorders>
            <w:vAlign w:val="center"/>
          </w:tcPr>
          <w:p w14:paraId="5325205F" w14:textId="77777777" w:rsidR="00A504AE" w:rsidRPr="004A691B" w:rsidRDefault="00A504AE" w:rsidP="009B1C87">
            <w:pPr>
              <w:pStyle w:val="Numbertablecolumnheading-leftaligned"/>
            </w:pPr>
            <w:r>
              <w:t>Functional domains</w:t>
            </w:r>
          </w:p>
        </w:tc>
        <w:tc>
          <w:tcPr>
            <w:tcW w:w="1418" w:type="dxa"/>
            <w:tcBorders>
              <w:bottom w:val="single" w:sz="4" w:space="0" w:color="auto"/>
            </w:tcBorders>
            <w:vAlign w:val="center"/>
          </w:tcPr>
          <w:p w14:paraId="5257CA81" w14:textId="77777777" w:rsidR="00A504AE" w:rsidRPr="00B40B92" w:rsidRDefault="00A504AE" w:rsidP="009B1C87">
            <w:pPr>
              <w:pStyle w:val="Numbertablecolumnheading-centered"/>
            </w:pPr>
            <w:r>
              <w:t>Disability rate (%)</w:t>
            </w:r>
          </w:p>
        </w:tc>
        <w:tc>
          <w:tcPr>
            <w:tcW w:w="2268" w:type="dxa"/>
            <w:tcBorders>
              <w:bottom w:val="single" w:sz="4" w:space="0" w:color="auto"/>
              <w:right w:val="single" w:sz="4" w:space="0" w:color="auto"/>
            </w:tcBorders>
            <w:vAlign w:val="center"/>
          </w:tcPr>
          <w:p w14:paraId="0D00A995" w14:textId="47913CB2" w:rsidR="00A504AE" w:rsidRPr="00E409C9" w:rsidRDefault="00A504AE" w:rsidP="009B1C87">
            <w:pPr>
              <w:pStyle w:val="Numbertablecolumnheading-centered"/>
            </w:pPr>
            <w:r>
              <w:t xml:space="preserve">Number of disabled </w:t>
            </w:r>
            <w:r w:rsidR="007501B0">
              <w:t>children</w:t>
            </w:r>
            <w:r>
              <w:t xml:space="preserve"> </w:t>
            </w:r>
          </w:p>
        </w:tc>
      </w:tr>
      <w:tr w:rsidR="00F50B77" w14:paraId="32662A59" w14:textId="77777777" w:rsidTr="00F50B77">
        <w:trPr>
          <w:trHeight w:val="142"/>
        </w:trPr>
        <w:tc>
          <w:tcPr>
            <w:tcW w:w="3397" w:type="dxa"/>
            <w:tcBorders>
              <w:top w:val="single" w:sz="4" w:space="0" w:color="auto"/>
              <w:left w:val="single" w:sz="4" w:space="0" w:color="auto"/>
              <w:bottom w:val="nil"/>
              <w:right w:val="nil"/>
            </w:tcBorders>
          </w:tcPr>
          <w:p w14:paraId="73B861E6" w14:textId="1CC5C288" w:rsidR="00F50B77" w:rsidRDefault="00F50B77" w:rsidP="00F50B77">
            <w:pPr>
              <w:pStyle w:val="Numbertablecolumnheading-leftaligned"/>
            </w:pPr>
            <w:r w:rsidRPr="00D638C6">
              <w:t>Mental health</w:t>
            </w:r>
            <w:r>
              <w:t xml:space="preserve"> </w:t>
            </w:r>
            <w:r w:rsidR="00F63140">
              <w:t xml:space="preserve">– </w:t>
            </w:r>
            <w:r w:rsidRPr="00D638C6">
              <w:t>5 to 14</w:t>
            </w:r>
            <w:r>
              <w:t xml:space="preserve"> </w:t>
            </w:r>
            <w:r w:rsidRPr="00D638C6">
              <w:t>years</w:t>
            </w:r>
          </w:p>
        </w:tc>
        <w:tc>
          <w:tcPr>
            <w:tcW w:w="1418" w:type="dxa"/>
            <w:tcBorders>
              <w:top w:val="single" w:sz="4" w:space="0" w:color="auto"/>
              <w:left w:val="nil"/>
              <w:bottom w:val="nil"/>
              <w:right w:val="nil"/>
            </w:tcBorders>
          </w:tcPr>
          <w:p w14:paraId="0390B283" w14:textId="76A90802" w:rsidR="00F50B77" w:rsidRPr="00676A28" w:rsidRDefault="00F50B77" w:rsidP="00F50B77">
            <w:pPr>
              <w:pStyle w:val="Numbertablecolumnheading-centered"/>
            </w:pPr>
            <w:r w:rsidRPr="008356CD">
              <w:t>5</w:t>
            </w:r>
          </w:p>
        </w:tc>
        <w:tc>
          <w:tcPr>
            <w:tcW w:w="2268" w:type="dxa"/>
            <w:tcBorders>
              <w:top w:val="single" w:sz="4" w:space="0" w:color="auto"/>
              <w:left w:val="nil"/>
              <w:bottom w:val="nil"/>
              <w:right w:val="single" w:sz="4" w:space="0" w:color="auto"/>
            </w:tcBorders>
          </w:tcPr>
          <w:p w14:paraId="611D0C1A" w14:textId="540F35AD" w:rsidR="00F50B77" w:rsidRPr="00676A28" w:rsidRDefault="00F50B77" w:rsidP="00F50B77">
            <w:pPr>
              <w:pStyle w:val="Numbertablecolumnheading-centered"/>
            </w:pPr>
            <w:r w:rsidRPr="008356CD">
              <w:t>35,000</w:t>
            </w:r>
          </w:p>
        </w:tc>
      </w:tr>
      <w:tr w:rsidR="00F50B77" w14:paraId="74940D76" w14:textId="77777777" w:rsidTr="00F50B77">
        <w:trPr>
          <w:trHeight w:val="288"/>
        </w:trPr>
        <w:tc>
          <w:tcPr>
            <w:tcW w:w="3397" w:type="dxa"/>
            <w:tcBorders>
              <w:top w:val="nil"/>
              <w:left w:val="single" w:sz="4" w:space="0" w:color="auto"/>
              <w:bottom w:val="nil"/>
              <w:right w:val="nil"/>
            </w:tcBorders>
          </w:tcPr>
          <w:p w14:paraId="14735733" w14:textId="4B0E1B83" w:rsidR="00F50B77" w:rsidRPr="00E409C9" w:rsidRDefault="00F50B77" w:rsidP="00F50B77">
            <w:pPr>
              <w:pStyle w:val="Numbertablecolumnheading-leftaligned"/>
            </w:pPr>
            <w:r w:rsidRPr="00D638C6">
              <w:t>Accepting change to routine</w:t>
            </w:r>
            <w:r>
              <w:t xml:space="preserve"> </w:t>
            </w:r>
            <w:r w:rsidR="00F63140">
              <w:t xml:space="preserve">– </w:t>
            </w:r>
            <w:r w:rsidRPr="00D638C6">
              <w:t>5 to 14 years</w:t>
            </w:r>
          </w:p>
        </w:tc>
        <w:tc>
          <w:tcPr>
            <w:tcW w:w="1418" w:type="dxa"/>
            <w:tcBorders>
              <w:top w:val="nil"/>
              <w:left w:val="nil"/>
              <w:bottom w:val="nil"/>
              <w:right w:val="nil"/>
            </w:tcBorders>
          </w:tcPr>
          <w:p w14:paraId="27E50237" w14:textId="7EB59C7A" w:rsidR="00F50B77" w:rsidRPr="008C60EC" w:rsidRDefault="00F50B77" w:rsidP="00F50B77">
            <w:pPr>
              <w:pStyle w:val="Numbertablecolumnheading-centered"/>
            </w:pPr>
            <w:r w:rsidRPr="008356CD">
              <w:t>5</w:t>
            </w:r>
          </w:p>
        </w:tc>
        <w:tc>
          <w:tcPr>
            <w:tcW w:w="2268" w:type="dxa"/>
            <w:tcBorders>
              <w:top w:val="nil"/>
              <w:left w:val="nil"/>
              <w:bottom w:val="nil"/>
              <w:right w:val="single" w:sz="4" w:space="0" w:color="auto"/>
            </w:tcBorders>
          </w:tcPr>
          <w:p w14:paraId="1792C4C9" w14:textId="0E423265" w:rsidR="00F50B77" w:rsidRPr="008C60EC" w:rsidRDefault="00F50B77" w:rsidP="00F50B77">
            <w:pPr>
              <w:pStyle w:val="Numbertablecolumnheading-centered"/>
            </w:pPr>
            <w:r w:rsidRPr="008356CD">
              <w:t>35,000</w:t>
            </w:r>
          </w:p>
        </w:tc>
      </w:tr>
      <w:tr w:rsidR="00F50B77" w14:paraId="29E23C76" w14:textId="77777777" w:rsidTr="00F50B77">
        <w:trPr>
          <w:trHeight w:val="288"/>
        </w:trPr>
        <w:tc>
          <w:tcPr>
            <w:tcW w:w="3397" w:type="dxa"/>
            <w:tcBorders>
              <w:top w:val="nil"/>
              <w:left w:val="single" w:sz="4" w:space="0" w:color="auto"/>
              <w:bottom w:val="nil"/>
              <w:right w:val="nil"/>
            </w:tcBorders>
          </w:tcPr>
          <w:p w14:paraId="6ED55BC7" w14:textId="69C4AA88" w:rsidR="00F50B77" w:rsidRPr="00BB1E87" w:rsidRDefault="00F50B77" w:rsidP="00F50B77">
            <w:pPr>
              <w:pStyle w:val="Numbertablecolumnheading-leftaligned"/>
            </w:pPr>
            <w:r w:rsidRPr="00D638C6">
              <w:t>Making friends</w:t>
            </w:r>
            <w:r>
              <w:t xml:space="preserve"> </w:t>
            </w:r>
            <w:r w:rsidR="00F63140">
              <w:t xml:space="preserve">– </w:t>
            </w:r>
            <w:r w:rsidRPr="00D638C6">
              <w:t>5 to 14 years</w:t>
            </w:r>
          </w:p>
        </w:tc>
        <w:tc>
          <w:tcPr>
            <w:tcW w:w="1418" w:type="dxa"/>
            <w:tcBorders>
              <w:top w:val="nil"/>
              <w:left w:val="nil"/>
              <w:bottom w:val="nil"/>
              <w:right w:val="nil"/>
            </w:tcBorders>
          </w:tcPr>
          <w:p w14:paraId="0A2EE180" w14:textId="744A69A1" w:rsidR="00F50B77" w:rsidRPr="008C60EC" w:rsidRDefault="00F50B77" w:rsidP="00F50B77">
            <w:pPr>
              <w:pStyle w:val="Numbertablecolumnheading-centered"/>
            </w:pPr>
            <w:r w:rsidRPr="008356CD">
              <w:t>4</w:t>
            </w:r>
          </w:p>
        </w:tc>
        <w:tc>
          <w:tcPr>
            <w:tcW w:w="2268" w:type="dxa"/>
            <w:tcBorders>
              <w:top w:val="nil"/>
              <w:left w:val="nil"/>
              <w:bottom w:val="nil"/>
              <w:right w:val="single" w:sz="4" w:space="0" w:color="auto"/>
            </w:tcBorders>
          </w:tcPr>
          <w:p w14:paraId="438D96E2" w14:textId="0B087A82" w:rsidR="00F50B77" w:rsidRPr="008C60EC" w:rsidRDefault="00F50B77" w:rsidP="00F50B77">
            <w:pPr>
              <w:pStyle w:val="Numbertablecolumnheading-centered"/>
            </w:pPr>
            <w:r w:rsidRPr="008356CD">
              <w:t>25,000</w:t>
            </w:r>
          </w:p>
        </w:tc>
      </w:tr>
      <w:tr w:rsidR="00F50B77" w14:paraId="64FF808D" w14:textId="77777777" w:rsidTr="00F50B77">
        <w:trPr>
          <w:trHeight w:val="288"/>
        </w:trPr>
        <w:tc>
          <w:tcPr>
            <w:tcW w:w="3397" w:type="dxa"/>
            <w:tcBorders>
              <w:top w:val="nil"/>
              <w:left w:val="single" w:sz="4" w:space="0" w:color="auto"/>
              <w:bottom w:val="nil"/>
              <w:right w:val="nil"/>
            </w:tcBorders>
          </w:tcPr>
          <w:p w14:paraId="673644F8" w14:textId="38CF0D0E" w:rsidR="00F50B77" w:rsidRDefault="00F50B77" w:rsidP="00F50B77">
            <w:pPr>
              <w:pStyle w:val="Numbertablecolumnheading-leftaligned"/>
            </w:pPr>
            <w:r w:rsidRPr="00D638C6">
              <w:t>Controlling own behaviour</w:t>
            </w:r>
            <w:r>
              <w:t xml:space="preserve"> </w:t>
            </w:r>
            <w:r w:rsidR="00F63140">
              <w:t xml:space="preserve">– </w:t>
            </w:r>
            <w:r w:rsidRPr="00D638C6">
              <w:t>2 to 14 years</w:t>
            </w:r>
          </w:p>
        </w:tc>
        <w:tc>
          <w:tcPr>
            <w:tcW w:w="1418" w:type="dxa"/>
            <w:tcBorders>
              <w:top w:val="nil"/>
              <w:left w:val="nil"/>
              <w:bottom w:val="nil"/>
              <w:right w:val="nil"/>
            </w:tcBorders>
          </w:tcPr>
          <w:p w14:paraId="2800D096" w14:textId="2F26E266" w:rsidR="00F50B77" w:rsidRPr="008C60EC" w:rsidRDefault="00F50B77" w:rsidP="00F50B77">
            <w:pPr>
              <w:pStyle w:val="Numbertablecolumnheading-centered"/>
            </w:pPr>
            <w:r w:rsidRPr="008356CD">
              <w:t>3</w:t>
            </w:r>
          </w:p>
        </w:tc>
        <w:tc>
          <w:tcPr>
            <w:tcW w:w="2268" w:type="dxa"/>
            <w:tcBorders>
              <w:top w:val="nil"/>
              <w:left w:val="nil"/>
              <w:bottom w:val="nil"/>
              <w:right w:val="single" w:sz="4" w:space="0" w:color="auto"/>
            </w:tcBorders>
          </w:tcPr>
          <w:p w14:paraId="424ED2F3" w14:textId="78A15CB3" w:rsidR="00F50B77" w:rsidRPr="008C60EC" w:rsidRDefault="00F50B77" w:rsidP="00F50B77">
            <w:pPr>
              <w:pStyle w:val="Numbertablecolumnheading-centered"/>
            </w:pPr>
            <w:r w:rsidRPr="008356CD">
              <w:t>30,000</w:t>
            </w:r>
          </w:p>
        </w:tc>
      </w:tr>
      <w:tr w:rsidR="00F50B77" w14:paraId="5A2D217A" w14:textId="77777777" w:rsidTr="00F50B77">
        <w:trPr>
          <w:trHeight w:val="288"/>
        </w:trPr>
        <w:tc>
          <w:tcPr>
            <w:tcW w:w="3397" w:type="dxa"/>
            <w:tcBorders>
              <w:top w:val="nil"/>
              <w:left w:val="single" w:sz="4" w:space="0" w:color="auto"/>
              <w:bottom w:val="nil"/>
              <w:right w:val="nil"/>
            </w:tcBorders>
          </w:tcPr>
          <w:p w14:paraId="38F39DFB" w14:textId="7A34B044" w:rsidR="00F50B77" w:rsidRPr="00884064" w:rsidRDefault="00F50B77" w:rsidP="00F50B77">
            <w:pPr>
              <w:pStyle w:val="Numbertablecolumnheading-leftaligned"/>
            </w:pPr>
            <w:r w:rsidRPr="00D638C6">
              <w:t>Developmental delay</w:t>
            </w:r>
            <w:r>
              <w:t xml:space="preserve"> </w:t>
            </w:r>
            <w:r w:rsidR="00F63140">
              <w:t xml:space="preserve">– </w:t>
            </w:r>
            <w:r w:rsidRPr="00D638C6">
              <w:t>0 to 4 years</w:t>
            </w:r>
          </w:p>
        </w:tc>
        <w:tc>
          <w:tcPr>
            <w:tcW w:w="1418" w:type="dxa"/>
            <w:tcBorders>
              <w:top w:val="nil"/>
              <w:left w:val="nil"/>
              <w:bottom w:val="nil"/>
              <w:right w:val="nil"/>
            </w:tcBorders>
          </w:tcPr>
          <w:p w14:paraId="75006A37" w14:textId="5A82E574" w:rsidR="00F50B77" w:rsidRPr="00726273" w:rsidRDefault="00F50B77" w:rsidP="00F50B77">
            <w:pPr>
              <w:pStyle w:val="Numbertablecolumnheading-centered"/>
              <w:rPr>
                <w:rFonts w:asciiTheme="minorHAnsi" w:hAnsiTheme="minorHAnsi" w:cstheme="minorHAnsi"/>
              </w:rPr>
            </w:pPr>
            <w:r w:rsidRPr="008356CD">
              <w:t>3</w:t>
            </w:r>
          </w:p>
        </w:tc>
        <w:tc>
          <w:tcPr>
            <w:tcW w:w="2268" w:type="dxa"/>
            <w:tcBorders>
              <w:top w:val="nil"/>
              <w:left w:val="nil"/>
              <w:bottom w:val="nil"/>
              <w:right w:val="single" w:sz="4" w:space="0" w:color="auto"/>
            </w:tcBorders>
          </w:tcPr>
          <w:p w14:paraId="2BF7BD7D" w14:textId="0313F059" w:rsidR="00F50B77" w:rsidRPr="00726273" w:rsidRDefault="00F50B77" w:rsidP="00F50B77">
            <w:pPr>
              <w:pStyle w:val="Numbertablecolumnheading-centered"/>
              <w:rPr>
                <w:rFonts w:asciiTheme="minorHAnsi" w:hAnsiTheme="minorHAnsi" w:cstheme="minorHAnsi"/>
              </w:rPr>
            </w:pPr>
            <w:r w:rsidRPr="008356CD">
              <w:t>10,000</w:t>
            </w:r>
          </w:p>
        </w:tc>
      </w:tr>
      <w:tr w:rsidR="00F50B77" w14:paraId="6A0CD340" w14:textId="77777777" w:rsidTr="00F50B77">
        <w:trPr>
          <w:trHeight w:val="288"/>
        </w:trPr>
        <w:tc>
          <w:tcPr>
            <w:tcW w:w="3397" w:type="dxa"/>
            <w:tcBorders>
              <w:top w:val="nil"/>
              <w:left w:val="single" w:sz="4" w:space="0" w:color="auto"/>
              <w:bottom w:val="nil"/>
              <w:right w:val="nil"/>
            </w:tcBorders>
          </w:tcPr>
          <w:p w14:paraId="106A2096" w14:textId="525B2D45" w:rsidR="00F50B77" w:rsidRPr="00B12ED9" w:rsidRDefault="00F50B77" w:rsidP="00F50B77">
            <w:pPr>
              <w:pStyle w:val="Numbertablecolumnheading-leftaligned"/>
            </w:pPr>
            <w:r w:rsidRPr="00D638C6">
              <w:t>Communication</w:t>
            </w:r>
            <w:r>
              <w:t xml:space="preserve"> </w:t>
            </w:r>
            <w:r w:rsidR="00F63140">
              <w:t xml:space="preserve">– </w:t>
            </w:r>
            <w:r w:rsidRPr="00D638C6">
              <w:t>2 to 14 years</w:t>
            </w:r>
          </w:p>
        </w:tc>
        <w:tc>
          <w:tcPr>
            <w:tcW w:w="1418" w:type="dxa"/>
            <w:tcBorders>
              <w:top w:val="nil"/>
              <w:left w:val="nil"/>
              <w:bottom w:val="nil"/>
              <w:right w:val="nil"/>
            </w:tcBorders>
          </w:tcPr>
          <w:p w14:paraId="5270D71C" w14:textId="039DAE13" w:rsidR="00F50B77" w:rsidRPr="00B12ED9" w:rsidRDefault="00F50B77" w:rsidP="00F50B77">
            <w:pPr>
              <w:pStyle w:val="Numbertablecolumnheading-centered"/>
            </w:pPr>
            <w:r w:rsidRPr="008356CD">
              <w:t>2</w:t>
            </w:r>
          </w:p>
        </w:tc>
        <w:tc>
          <w:tcPr>
            <w:tcW w:w="2268" w:type="dxa"/>
            <w:tcBorders>
              <w:top w:val="nil"/>
              <w:left w:val="nil"/>
              <w:bottom w:val="nil"/>
              <w:right w:val="single" w:sz="4" w:space="0" w:color="auto"/>
            </w:tcBorders>
          </w:tcPr>
          <w:p w14:paraId="4DF924FD" w14:textId="532E397E" w:rsidR="00F50B77" w:rsidRPr="00B12ED9" w:rsidRDefault="00F50B77" w:rsidP="00F50B77">
            <w:pPr>
              <w:pStyle w:val="Numbertablecolumnheading-centered"/>
            </w:pPr>
            <w:r w:rsidRPr="008356CD">
              <w:t>18,000</w:t>
            </w:r>
          </w:p>
        </w:tc>
      </w:tr>
      <w:tr w:rsidR="00F50B77" w14:paraId="29EC384F" w14:textId="77777777" w:rsidTr="00F50B77">
        <w:trPr>
          <w:trHeight w:val="288"/>
        </w:trPr>
        <w:tc>
          <w:tcPr>
            <w:tcW w:w="3397" w:type="dxa"/>
            <w:tcBorders>
              <w:top w:val="nil"/>
              <w:left w:val="single" w:sz="4" w:space="0" w:color="auto"/>
              <w:bottom w:val="nil"/>
              <w:right w:val="nil"/>
            </w:tcBorders>
          </w:tcPr>
          <w:p w14:paraId="09113A2F" w14:textId="0EE4809E" w:rsidR="00F50B77" w:rsidRPr="00B12ED9" w:rsidRDefault="00F50B77" w:rsidP="00F50B77">
            <w:pPr>
              <w:pStyle w:val="Numbertablecolumnheading-leftaligned"/>
            </w:pPr>
            <w:r w:rsidRPr="00D638C6">
              <w:t>Remembering</w:t>
            </w:r>
            <w:r>
              <w:t xml:space="preserve"> </w:t>
            </w:r>
            <w:r w:rsidR="00F63140">
              <w:t xml:space="preserve">– </w:t>
            </w:r>
            <w:r w:rsidRPr="00D638C6">
              <w:t>5 to 14 years</w:t>
            </w:r>
          </w:p>
        </w:tc>
        <w:tc>
          <w:tcPr>
            <w:tcW w:w="1418" w:type="dxa"/>
            <w:tcBorders>
              <w:top w:val="nil"/>
              <w:left w:val="nil"/>
              <w:bottom w:val="nil"/>
              <w:right w:val="nil"/>
            </w:tcBorders>
          </w:tcPr>
          <w:p w14:paraId="74F1E12E" w14:textId="23093A7C" w:rsidR="00F50B77" w:rsidRPr="00B12ED9" w:rsidRDefault="00F50B77" w:rsidP="00F50B77">
            <w:pPr>
              <w:pStyle w:val="Numbertablecolumnheading-centered"/>
            </w:pPr>
            <w:r w:rsidRPr="008356CD">
              <w:t>2</w:t>
            </w:r>
          </w:p>
        </w:tc>
        <w:tc>
          <w:tcPr>
            <w:tcW w:w="2268" w:type="dxa"/>
            <w:tcBorders>
              <w:top w:val="nil"/>
              <w:left w:val="nil"/>
              <w:bottom w:val="nil"/>
              <w:right w:val="single" w:sz="4" w:space="0" w:color="auto"/>
            </w:tcBorders>
          </w:tcPr>
          <w:p w14:paraId="7E58A62E" w14:textId="333B8CF9" w:rsidR="00F50B77" w:rsidRPr="00B12ED9" w:rsidRDefault="00F50B77" w:rsidP="00F50B77">
            <w:pPr>
              <w:pStyle w:val="Numbertablecolumnheading-centered"/>
            </w:pPr>
            <w:r w:rsidRPr="008356CD">
              <w:t>15,000</w:t>
            </w:r>
          </w:p>
        </w:tc>
      </w:tr>
      <w:tr w:rsidR="00F50B77" w14:paraId="056EE883" w14:textId="77777777" w:rsidTr="00F50B77">
        <w:trPr>
          <w:trHeight w:val="288"/>
        </w:trPr>
        <w:tc>
          <w:tcPr>
            <w:tcW w:w="3397" w:type="dxa"/>
            <w:tcBorders>
              <w:top w:val="nil"/>
              <w:left w:val="single" w:sz="4" w:space="0" w:color="auto"/>
              <w:bottom w:val="nil"/>
              <w:right w:val="nil"/>
            </w:tcBorders>
          </w:tcPr>
          <w:p w14:paraId="66390371" w14:textId="6F26EAFD" w:rsidR="00F50B77" w:rsidRPr="00B12ED9" w:rsidRDefault="00F50B77" w:rsidP="00F50B77">
            <w:pPr>
              <w:pStyle w:val="Numbertablecolumnheading-leftaligned"/>
            </w:pPr>
            <w:r w:rsidRPr="00D638C6">
              <w:t>Learning</w:t>
            </w:r>
            <w:r>
              <w:t xml:space="preserve"> </w:t>
            </w:r>
            <w:r w:rsidR="00F63140">
              <w:t xml:space="preserve">– </w:t>
            </w:r>
            <w:r w:rsidRPr="00D638C6">
              <w:t>2 to 14 years</w:t>
            </w:r>
          </w:p>
        </w:tc>
        <w:tc>
          <w:tcPr>
            <w:tcW w:w="1418" w:type="dxa"/>
            <w:tcBorders>
              <w:top w:val="nil"/>
              <w:left w:val="nil"/>
              <w:bottom w:val="nil"/>
              <w:right w:val="nil"/>
            </w:tcBorders>
          </w:tcPr>
          <w:p w14:paraId="3445F09A" w14:textId="0FFE4210" w:rsidR="00F50B77" w:rsidRPr="00B12ED9" w:rsidRDefault="00F50B77" w:rsidP="00F50B77">
            <w:pPr>
              <w:pStyle w:val="Numbertablecolumnheading-centered"/>
            </w:pPr>
            <w:r w:rsidRPr="008356CD">
              <w:t>2</w:t>
            </w:r>
          </w:p>
        </w:tc>
        <w:tc>
          <w:tcPr>
            <w:tcW w:w="2268" w:type="dxa"/>
            <w:tcBorders>
              <w:top w:val="nil"/>
              <w:left w:val="nil"/>
              <w:bottom w:val="nil"/>
              <w:right w:val="single" w:sz="4" w:space="0" w:color="auto"/>
            </w:tcBorders>
          </w:tcPr>
          <w:p w14:paraId="7A2C02A8" w14:textId="33D62AD4" w:rsidR="00F50B77" w:rsidRPr="00B12ED9" w:rsidRDefault="00F50B77" w:rsidP="00F50B77">
            <w:pPr>
              <w:pStyle w:val="Numbertablecolumnheading-centered"/>
            </w:pPr>
            <w:r w:rsidRPr="008356CD">
              <w:t>14,000</w:t>
            </w:r>
          </w:p>
        </w:tc>
      </w:tr>
      <w:tr w:rsidR="00F50B77" w14:paraId="45168808" w14:textId="77777777" w:rsidTr="00F50B77">
        <w:trPr>
          <w:trHeight w:val="288"/>
        </w:trPr>
        <w:tc>
          <w:tcPr>
            <w:tcW w:w="3397" w:type="dxa"/>
            <w:tcBorders>
              <w:top w:val="nil"/>
              <w:left w:val="single" w:sz="4" w:space="0" w:color="auto"/>
              <w:bottom w:val="nil"/>
              <w:right w:val="nil"/>
            </w:tcBorders>
          </w:tcPr>
          <w:p w14:paraId="0ADA9846" w14:textId="4311D197" w:rsidR="00F50B77" w:rsidRPr="00B12ED9" w:rsidRDefault="00F50B77" w:rsidP="00F50B77">
            <w:pPr>
              <w:pStyle w:val="Numbertablecolumnheading-leftaligned"/>
            </w:pPr>
            <w:r w:rsidRPr="00D638C6">
              <w:t>Concentrating</w:t>
            </w:r>
            <w:r>
              <w:t xml:space="preserve"> </w:t>
            </w:r>
            <w:r w:rsidR="00F63140">
              <w:t xml:space="preserve">– </w:t>
            </w:r>
            <w:r w:rsidRPr="00D638C6">
              <w:t>5 to 14 years</w:t>
            </w:r>
          </w:p>
        </w:tc>
        <w:tc>
          <w:tcPr>
            <w:tcW w:w="1418" w:type="dxa"/>
            <w:tcBorders>
              <w:top w:val="nil"/>
              <w:left w:val="nil"/>
              <w:bottom w:val="nil"/>
              <w:right w:val="nil"/>
            </w:tcBorders>
          </w:tcPr>
          <w:p w14:paraId="7F106F1F" w14:textId="3D0365A2" w:rsidR="00F50B77" w:rsidRPr="00B12ED9" w:rsidRDefault="00F50B77" w:rsidP="00F50B77">
            <w:pPr>
              <w:pStyle w:val="Numbertablecolumnheading-centered"/>
            </w:pPr>
            <w:r w:rsidRPr="008356CD">
              <w:t>2</w:t>
            </w:r>
          </w:p>
        </w:tc>
        <w:tc>
          <w:tcPr>
            <w:tcW w:w="2268" w:type="dxa"/>
            <w:tcBorders>
              <w:top w:val="nil"/>
              <w:left w:val="nil"/>
              <w:bottom w:val="nil"/>
              <w:right w:val="single" w:sz="4" w:space="0" w:color="auto"/>
            </w:tcBorders>
          </w:tcPr>
          <w:p w14:paraId="3483F338" w14:textId="3C1B61F1" w:rsidR="00F50B77" w:rsidRPr="00B12ED9" w:rsidRDefault="00F50B77" w:rsidP="00F50B77">
            <w:pPr>
              <w:pStyle w:val="Numbertablecolumnheading-centered"/>
            </w:pPr>
            <w:r w:rsidRPr="008356CD">
              <w:t>11,000</w:t>
            </w:r>
          </w:p>
        </w:tc>
      </w:tr>
      <w:tr w:rsidR="00F50B77" w14:paraId="388CEB17" w14:textId="77777777" w:rsidTr="00F50B77">
        <w:trPr>
          <w:trHeight w:val="288"/>
        </w:trPr>
        <w:tc>
          <w:tcPr>
            <w:tcW w:w="3397" w:type="dxa"/>
            <w:tcBorders>
              <w:top w:val="nil"/>
              <w:left w:val="single" w:sz="4" w:space="0" w:color="auto"/>
              <w:bottom w:val="nil"/>
              <w:right w:val="nil"/>
            </w:tcBorders>
          </w:tcPr>
          <w:p w14:paraId="0C6D68D6" w14:textId="1DA25411" w:rsidR="00F50B77" w:rsidRPr="00B12ED9" w:rsidRDefault="00F50B77" w:rsidP="00F50B77">
            <w:pPr>
              <w:pStyle w:val="Numbertablecolumnheading-leftaligned"/>
            </w:pPr>
            <w:r w:rsidRPr="00D638C6">
              <w:t>Intellectual</w:t>
            </w:r>
            <w:r w:rsidR="00F63140">
              <w:t xml:space="preserve"> – </w:t>
            </w:r>
            <w:r w:rsidRPr="00D638C6">
              <w:t>5 to 14 years</w:t>
            </w:r>
          </w:p>
        </w:tc>
        <w:tc>
          <w:tcPr>
            <w:tcW w:w="1418" w:type="dxa"/>
            <w:tcBorders>
              <w:top w:val="nil"/>
              <w:left w:val="nil"/>
              <w:bottom w:val="nil"/>
              <w:right w:val="nil"/>
            </w:tcBorders>
          </w:tcPr>
          <w:p w14:paraId="5C5B899F" w14:textId="07F66EA4" w:rsidR="00F50B77" w:rsidRPr="00B12ED9" w:rsidRDefault="00F50B77" w:rsidP="00F50B77">
            <w:pPr>
              <w:pStyle w:val="Numbertablecolumnheading-centered"/>
            </w:pPr>
            <w:r w:rsidRPr="008356CD">
              <w:t>1</w:t>
            </w:r>
          </w:p>
        </w:tc>
        <w:tc>
          <w:tcPr>
            <w:tcW w:w="2268" w:type="dxa"/>
            <w:tcBorders>
              <w:top w:val="nil"/>
              <w:left w:val="nil"/>
              <w:bottom w:val="nil"/>
              <w:right w:val="single" w:sz="4" w:space="0" w:color="auto"/>
            </w:tcBorders>
          </w:tcPr>
          <w:p w14:paraId="3EBB7539" w14:textId="42F59254" w:rsidR="00F50B77" w:rsidRPr="00B12ED9" w:rsidRDefault="00F50B77" w:rsidP="00F50B77">
            <w:pPr>
              <w:pStyle w:val="Numbertablecolumnheading-centered"/>
            </w:pPr>
            <w:r w:rsidRPr="008356CD">
              <w:t>7,000</w:t>
            </w:r>
          </w:p>
        </w:tc>
      </w:tr>
      <w:tr w:rsidR="00F50B77" w14:paraId="7DB54B4C" w14:textId="77777777" w:rsidTr="00F50B77">
        <w:trPr>
          <w:trHeight w:val="288"/>
        </w:trPr>
        <w:tc>
          <w:tcPr>
            <w:tcW w:w="3397" w:type="dxa"/>
            <w:tcBorders>
              <w:top w:val="nil"/>
              <w:left w:val="single" w:sz="4" w:space="0" w:color="auto"/>
              <w:bottom w:val="nil"/>
              <w:right w:val="nil"/>
            </w:tcBorders>
          </w:tcPr>
          <w:p w14:paraId="1123B3F7" w14:textId="777FCB37" w:rsidR="00F50B77" w:rsidRPr="00B12ED9" w:rsidRDefault="00F50B77" w:rsidP="00F50B77">
            <w:pPr>
              <w:pStyle w:val="Numbertablecolumnheading-leftaligned"/>
            </w:pPr>
            <w:r w:rsidRPr="00D638C6">
              <w:t>Walking</w:t>
            </w:r>
            <w:r>
              <w:t xml:space="preserve"> </w:t>
            </w:r>
            <w:r w:rsidR="00F63140">
              <w:t xml:space="preserve">– </w:t>
            </w:r>
            <w:r w:rsidRPr="00D638C6">
              <w:t>2 to 14 years</w:t>
            </w:r>
          </w:p>
        </w:tc>
        <w:tc>
          <w:tcPr>
            <w:tcW w:w="1418" w:type="dxa"/>
            <w:tcBorders>
              <w:top w:val="nil"/>
              <w:left w:val="nil"/>
              <w:bottom w:val="nil"/>
              <w:right w:val="nil"/>
            </w:tcBorders>
          </w:tcPr>
          <w:p w14:paraId="21BBBFB5" w14:textId="056E2F69" w:rsidR="00F50B77" w:rsidRPr="00B12ED9" w:rsidRDefault="00F50B77" w:rsidP="00F50B77">
            <w:pPr>
              <w:pStyle w:val="Numbertablecolumnheading-centered"/>
            </w:pPr>
            <w:r w:rsidRPr="008356CD">
              <w:t>1</w:t>
            </w:r>
          </w:p>
        </w:tc>
        <w:tc>
          <w:tcPr>
            <w:tcW w:w="2268" w:type="dxa"/>
            <w:tcBorders>
              <w:top w:val="nil"/>
              <w:left w:val="nil"/>
              <w:bottom w:val="nil"/>
              <w:right w:val="single" w:sz="4" w:space="0" w:color="auto"/>
            </w:tcBorders>
          </w:tcPr>
          <w:p w14:paraId="3AB64657" w14:textId="57883DB2" w:rsidR="00F50B77" w:rsidRPr="00B12ED9" w:rsidRDefault="00F50B77" w:rsidP="00F50B77">
            <w:pPr>
              <w:pStyle w:val="Numbertablecolumnheading-centered"/>
            </w:pPr>
            <w:r w:rsidRPr="008356CD">
              <w:t>6,000</w:t>
            </w:r>
          </w:p>
        </w:tc>
      </w:tr>
      <w:tr w:rsidR="00F50B77" w14:paraId="2CDBAE83" w14:textId="77777777" w:rsidTr="00F50B77">
        <w:trPr>
          <w:trHeight w:val="288"/>
        </w:trPr>
        <w:tc>
          <w:tcPr>
            <w:tcW w:w="3397" w:type="dxa"/>
            <w:tcBorders>
              <w:top w:val="nil"/>
              <w:left w:val="single" w:sz="4" w:space="0" w:color="auto"/>
              <w:bottom w:val="nil"/>
              <w:right w:val="nil"/>
            </w:tcBorders>
          </w:tcPr>
          <w:p w14:paraId="2F169EB1" w14:textId="7CA40246" w:rsidR="00F50B77" w:rsidRPr="00B12ED9" w:rsidRDefault="00F50B77" w:rsidP="00F50B77">
            <w:pPr>
              <w:pStyle w:val="Numbertablecolumnheading-leftaligned"/>
            </w:pPr>
            <w:r w:rsidRPr="00D638C6">
              <w:t>Personal care</w:t>
            </w:r>
            <w:r>
              <w:t xml:space="preserve"> </w:t>
            </w:r>
            <w:r w:rsidR="00F63140">
              <w:t xml:space="preserve">– </w:t>
            </w:r>
            <w:r w:rsidRPr="00D638C6">
              <w:t>5 to 14 years</w:t>
            </w:r>
          </w:p>
        </w:tc>
        <w:tc>
          <w:tcPr>
            <w:tcW w:w="1418" w:type="dxa"/>
            <w:tcBorders>
              <w:top w:val="nil"/>
              <w:left w:val="nil"/>
              <w:bottom w:val="nil"/>
              <w:right w:val="nil"/>
            </w:tcBorders>
          </w:tcPr>
          <w:p w14:paraId="11D2BE5A" w14:textId="2918B143" w:rsidR="00F50B77" w:rsidRPr="00B12ED9" w:rsidRDefault="00F50B77" w:rsidP="00F50B77">
            <w:pPr>
              <w:pStyle w:val="Numbertablecolumnheading-centered"/>
            </w:pPr>
            <w:r w:rsidRPr="008356CD">
              <w:t>1</w:t>
            </w:r>
          </w:p>
        </w:tc>
        <w:tc>
          <w:tcPr>
            <w:tcW w:w="2268" w:type="dxa"/>
            <w:tcBorders>
              <w:top w:val="nil"/>
              <w:left w:val="nil"/>
              <w:bottom w:val="nil"/>
              <w:right w:val="single" w:sz="4" w:space="0" w:color="auto"/>
            </w:tcBorders>
          </w:tcPr>
          <w:p w14:paraId="5CDD3233" w14:textId="61337E18" w:rsidR="00F50B77" w:rsidRPr="00B12ED9" w:rsidRDefault="00F50B77" w:rsidP="00F50B77">
            <w:pPr>
              <w:pStyle w:val="Numbertablecolumnheading-centered"/>
            </w:pPr>
            <w:r w:rsidRPr="008356CD">
              <w:t>5,000</w:t>
            </w:r>
          </w:p>
        </w:tc>
      </w:tr>
      <w:tr w:rsidR="000504E6" w14:paraId="02C6B6F0" w14:textId="77777777" w:rsidTr="00F50B77">
        <w:trPr>
          <w:trHeight w:val="288"/>
        </w:trPr>
        <w:tc>
          <w:tcPr>
            <w:tcW w:w="3397" w:type="dxa"/>
            <w:tcBorders>
              <w:top w:val="nil"/>
              <w:left w:val="single" w:sz="4" w:space="0" w:color="auto"/>
              <w:bottom w:val="nil"/>
              <w:right w:val="nil"/>
            </w:tcBorders>
          </w:tcPr>
          <w:p w14:paraId="100842E4" w14:textId="5D25338B" w:rsidR="000504E6" w:rsidRPr="00D638C6" w:rsidRDefault="000504E6" w:rsidP="000504E6">
            <w:pPr>
              <w:pStyle w:val="Numbertablecolumnheading-leftaligned"/>
            </w:pPr>
            <w:r w:rsidRPr="00D638C6">
              <w:t>Flexibility/dexterity</w:t>
            </w:r>
            <w:r>
              <w:t xml:space="preserve"> – </w:t>
            </w:r>
            <w:r w:rsidRPr="00D638C6">
              <w:t>0 to 14 years</w:t>
            </w:r>
          </w:p>
        </w:tc>
        <w:tc>
          <w:tcPr>
            <w:tcW w:w="1418" w:type="dxa"/>
            <w:tcBorders>
              <w:top w:val="nil"/>
              <w:left w:val="nil"/>
              <w:bottom w:val="nil"/>
              <w:right w:val="nil"/>
            </w:tcBorders>
          </w:tcPr>
          <w:p w14:paraId="27FADE9A" w14:textId="77374DD5" w:rsidR="000504E6" w:rsidRPr="008356CD" w:rsidRDefault="000504E6" w:rsidP="000504E6">
            <w:pPr>
              <w:pStyle w:val="Numbertablecolumnheading-centered"/>
            </w:pPr>
            <w:r w:rsidRPr="008356CD">
              <w:t>&lt; 0.5</w:t>
            </w:r>
          </w:p>
        </w:tc>
        <w:tc>
          <w:tcPr>
            <w:tcW w:w="2268" w:type="dxa"/>
            <w:tcBorders>
              <w:top w:val="nil"/>
              <w:left w:val="nil"/>
              <w:bottom w:val="nil"/>
              <w:right w:val="single" w:sz="4" w:space="0" w:color="auto"/>
            </w:tcBorders>
          </w:tcPr>
          <w:p w14:paraId="5E3A6F25" w14:textId="1FB1EBA0" w:rsidR="000504E6" w:rsidRPr="008356CD" w:rsidRDefault="000504E6" w:rsidP="000504E6">
            <w:pPr>
              <w:pStyle w:val="Numbertablecolumnheading-centered"/>
            </w:pPr>
            <w:r w:rsidRPr="008356CD">
              <w:t>3,000</w:t>
            </w:r>
          </w:p>
        </w:tc>
      </w:tr>
      <w:tr w:rsidR="000504E6" w14:paraId="4AABA8B2" w14:textId="77777777" w:rsidTr="00F50B77">
        <w:trPr>
          <w:trHeight w:val="288"/>
        </w:trPr>
        <w:tc>
          <w:tcPr>
            <w:tcW w:w="3397" w:type="dxa"/>
            <w:tcBorders>
              <w:top w:val="nil"/>
              <w:left w:val="single" w:sz="4" w:space="0" w:color="auto"/>
              <w:bottom w:val="nil"/>
              <w:right w:val="nil"/>
            </w:tcBorders>
          </w:tcPr>
          <w:p w14:paraId="02C2A538" w14:textId="3AF83D07" w:rsidR="000504E6" w:rsidRPr="00B12ED9" w:rsidRDefault="000504E6" w:rsidP="000504E6">
            <w:pPr>
              <w:pStyle w:val="Numbertablecolumnheading-leftaligned"/>
            </w:pPr>
            <w:r w:rsidRPr="00D638C6">
              <w:t>Hearing</w:t>
            </w:r>
            <w:r>
              <w:t xml:space="preserve"> – </w:t>
            </w:r>
            <w:r w:rsidRPr="00D638C6">
              <w:t>0 to 14 years</w:t>
            </w:r>
          </w:p>
        </w:tc>
        <w:tc>
          <w:tcPr>
            <w:tcW w:w="1418" w:type="dxa"/>
            <w:tcBorders>
              <w:top w:val="nil"/>
              <w:left w:val="nil"/>
              <w:bottom w:val="nil"/>
              <w:right w:val="nil"/>
            </w:tcBorders>
          </w:tcPr>
          <w:p w14:paraId="00490FB8" w14:textId="3CD6E571" w:rsidR="000504E6" w:rsidRPr="00B12ED9" w:rsidRDefault="000504E6" w:rsidP="000504E6">
            <w:pPr>
              <w:pStyle w:val="Numbertablecolumnheading-centered"/>
            </w:pPr>
            <w:r w:rsidRPr="008356CD">
              <w:t>&lt; 0.5</w:t>
            </w:r>
          </w:p>
        </w:tc>
        <w:tc>
          <w:tcPr>
            <w:tcW w:w="2268" w:type="dxa"/>
            <w:tcBorders>
              <w:top w:val="nil"/>
              <w:left w:val="nil"/>
              <w:bottom w:val="nil"/>
              <w:right w:val="single" w:sz="4" w:space="0" w:color="auto"/>
            </w:tcBorders>
          </w:tcPr>
          <w:p w14:paraId="0DECA612" w14:textId="29419D11" w:rsidR="000504E6" w:rsidRPr="00B12ED9" w:rsidRDefault="000504E6" w:rsidP="000504E6">
            <w:pPr>
              <w:pStyle w:val="Numbertablecolumnheading-centered"/>
            </w:pPr>
            <w:r w:rsidRPr="008356CD">
              <w:t>2,000</w:t>
            </w:r>
          </w:p>
        </w:tc>
      </w:tr>
      <w:tr w:rsidR="000504E6" w14:paraId="76AA52F7" w14:textId="77777777" w:rsidTr="00F50B77">
        <w:trPr>
          <w:trHeight w:val="288"/>
        </w:trPr>
        <w:tc>
          <w:tcPr>
            <w:tcW w:w="3397" w:type="dxa"/>
            <w:tcBorders>
              <w:top w:val="nil"/>
              <w:left w:val="single" w:sz="4" w:space="0" w:color="auto"/>
              <w:bottom w:val="nil"/>
              <w:right w:val="nil"/>
            </w:tcBorders>
          </w:tcPr>
          <w:p w14:paraId="4B710E6F" w14:textId="13797D12" w:rsidR="000504E6" w:rsidRPr="002D30FF" w:rsidRDefault="000504E6" w:rsidP="000504E6">
            <w:pPr>
              <w:pStyle w:val="Numbertablecolumnheading-leftaligned"/>
            </w:pPr>
            <w:r w:rsidRPr="00D638C6">
              <w:t xml:space="preserve">Playing </w:t>
            </w:r>
            <w:r>
              <w:t xml:space="preserve">– </w:t>
            </w:r>
            <w:r w:rsidRPr="00D638C6">
              <w:t>3 months to 4 years</w:t>
            </w:r>
          </w:p>
        </w:tc>
        <w:tc>
          <w:tcPr>
            <w:tcW w:w="1418" w:type="dxa"/>
            <w:tcBorders>
              <w:top w:val="nil"/>
              <w:left w:val="nil"/>
              <w:bottom w:val="nil"/>
              <w:right w:val="nil"/>
            </w:tcBorders>
          </w:tcPr>
          <w:p w14:paraId="4B43A079" w14:textId="588347EA" w:rsidR="000504E6" w:rsidRPr="00BE209D" w:rsidRDefault="000504E6" w:rsidP="000504E6">
            <w:pPr>
              <w:pStyle w:val="Numbertablecolumnheading-centered"/>
            </w:pPr>
            <w:r w:rsidRPr="008356CD">
              <w:t>&lt; 0.5</w:t>
            </w:r>
          </w:p>
        </w:tc>
        <w:tc>
          <w:tcPr>
            <w:tcW w:w="2268" w:type="dxa"/>
            <w:tcBorders>
              <w:top w:val="nil"/>
              <w:left w:val="nil"/>
              <w:bottom w:val="nil"/>
              <w:right w:val="single" w:sz="4" w:space="0" w:color="auto"/>
            </w:tcBorders>
          </w:tcPr>
          <w:p w14:paraId="7C702E3A" w14:textId="3F6AC309" w:rsidR="000504E6" w:rsidRPr="00BE209D" w:rsidRDefault="000504E6" w:rsidP="000504E6">
            <w:pPr>
              <w:pStyle w:val="Numbertablecolumnheading-centered"/>
            </w:pPr>
            <w:r w:rsidRPr="008356CD">
              <w:t>1,000</w:t>
            </w:r>
          </w:p>
        </w:tc>
      </w:tr>
      <w:tr w:rsidR="000504E6" w14:paraId="16C515B0" w14:textId="77777777" w:rsidTr="00480EEA">
        <w:trPr>
          <w:trHeight w:val="74"/>
        </w:trPr>
        <w:tc>
          <w:tcPr>
            <w:tcW w:w="3397" w:type="dxa"/>
            <w:tcBorders>
              <w:top w:val="nil"/>
              <w:left w:val="single" w:sz="4" w:space="0" w:color="auto"/>
              <w:bottom w:val="nil"/>
              <w:right w:val="nil"/>
            </w:tcBorders>
          </w:tcPr>
          <w:p w14:paraId="7F3DBD25" w14:textId="36BFDA41" w:rsidR="000504E6" w:rsidRPr="002D30FF" w:rsidRDefault="000504E6" w:rsidP="000504E6">
            <w:pPr>
              <w:pStyle w:val="Numbertablecolumnheading-leftaligned"/>
            </w:pPr>
            <w:r w:rsidRPr="00D638C6">
              <w:t>Seeing</w:t>
            </w:r>
            <w:r>
              <w:t xml:space="preserve"> – 0</w:t>
            </w:r>
            <w:r w:rsidRPr="00D638C6">
              <w:t xml:space="preserve"> to 14 years</w:t>
            </w:r>
          </w:p>
        </w:tc>
        <w:tc>
          <w:tcPr>
            <w:tcW w:w="1418" w:type="dxa"/>
            <w:tcBorders>
              <w:top w:val="nil"/>
              <w:left w:val="nil"/>
              <w:bottom w:val="nil"/>
              <w:right w:val="nil"/>
            </w:tcBorders>
          </w:tcPr>
          <w:p w14:paraId="7E8E3889" w14:textId="7DC900BD" w:rsidR="000504E6" w:rsidRPr="00BE209D" w:rsidRDefault="000504E6" w:rsidP="000504E6">
            <w:pPr>
              <w:pStyle w:val="Numbertablecolumnheading-centered"/>
            </w:pPr>
            <w:r w:rsidRPr="008356CD">
              <w:t>S</w:t>
            </w:r>
          </w:p>
        </w:tc>
        <w:tc>
          <w:tcPr>
            <w:tcW w:w="2268" w:type="dxa"/>
            <w:tcBorders>
              <w:top w:val="nil"/>
              <w:left w:val="nil"/>
              <w:bottom w:val="nil"/>
              <w:right w:val="single" w:sz="4" w:space="0" w:color="auto"/>
            </w:tcBorders>
          </w:tcPr>
          <w:p w14:paraId="311BE8F7" w14:textId="232E5603" w:rsidR="000504E6" w:rsidRPr="00BE209D" w:rsidRDefault="000504E6" w:rsidP="000504E6">
            <w:pPr>
              <w:pStyle w:val="Numbertablecolumnheading-centered"/>
            </w:pPr>
            <w:r w:rsidRPr="008356CD">
              <w:t>S</w:t>
            </w:r>
          </w:p>
        </w:tc>
      </w:tr>
      <w:tr w:rsidR="000504E6" w14:paraId="36DF6287" w14:textId="77777777" w:rsidTr="00F50B77">
        <w:trPr>
          <w:trHeight w:val="288"/>
        </w:trPr>
        <w:tc>
          <w:tcPr>
            <w:tcW w:w="3397" w:type="dxa"/>
            <w:tcBorders>
              <w:top w:val="nil"/>
              <w:left w:val="single" w:sz="4" w:space="0" w:color="auto"/>
              <w:bottom w:val="single" w:sz="4" w:space="0" w:color="auto"/>
              <w:right w:val="nil"/>
            </w:tcBorders>
          </w:tcPr>
          <w:p w14:paraId="60E5C9D6" w14:textId="7924CAB9" w:rsidR="000504E6" w:rsidRPr="00BB1E87" w:rsidRDefault="000504E6" w:rsidP="000504E6">
            <w:pPr>
              <w:pStyle w:val="Numbertablecolumnheading-leftaligned"/>
            </w:pPr>
            <w:r>
              <w:t>Total – 0</w:t>
            </w:r>
            <w:r w:rsidRPr="00D638C6">
              <w:t xml:space="preserve"> to 14 years</w:t>
            </w:r>
          </w:p>
        </w:tc>
        <w:tc>
          <w:tcPr>
            <w:tcW w:w="1418" w:type="dxa"/>
            <w:tcBorders>
              <w:top w:val="nil"/>
              <w:left w:val="nil"/>
              <w:bottom w:val="single" w:sz="4" w:space="0" w:color="auto"/>
              <w:right w:val="nil"/>
            </w:tcBorders>
          </w:tcPr>
          <w:p w14:paraId="6A7CFE84" w14:textId="63D404AC" w:rsidR="000504E6" w:rsidRPr="008C60EC" w:rsidRDefault="000504E6" w:rsidP="000504E6">
            <w:pPr>
              <w:pStyle w:val="Numbertablecolumnheading-centered"/>
            </w:pPr>
            <w:r w:rsidRPr="008356CD">
              <w:t>10</w:t>
            </w:r>
          </w:p>
        </w:tc>
        <w:tc>
          <w:tcPr>
            <w:tcW w:w="2268" w:type="dxa"/>
            <w:tcBorders>
              <w:top w:val="nil"/>
              <w:left w:val="nil"/>
              <w:bottom w:val="single" w:sz="4" w:space="0" w:color="auto"/>
              <w:right w:val="single" w:sz="4" w:space="0" w:color="auto"/>
            </w:tcBorders>
          </w:tcPr>
          <w:p w14:paraId="583CFDBF" w14:textId="184C85D4" w:rsidR="000504E6" w:rsidRPr="008C60EC" w:rsidRDefault="000504E6" w:rsidP="000504E6">
            <w:pPr>
              <w:pStyle w:val="Numbertablecolumnheading-centered"/>
            </w:pPr>
            <w:r w:rsidRPr="008356CD">
              <w:t>98,000</w:t>
            </w:r>
          </w:p>
        </w:tc>
      </w:tr>
      <w:tr w:rsidR="000504E6" w14:paraId="2846B78C" w14:textId="77777777" w:rsidTr="00F50B77">
        <w:trPr>
          <w:trHeight w:val="288"/>
        </w:trPr>
        <w:tc>
          <w:tcPr>
            <w:tcW w:w="7083" w:type="dxa"/>
            <w:gridSpan w:val="3"/>
            <w:tcBorders>
              <w:top w:val="single" w:sz="4" w:space="0" w:color="auto"/>
              <w:left w:val="single" w:sz="4" w:space="0" w:color="auto"/>
              <w:right w:val="single" w:sz="4" w:space="0" w:color="auto"/>
            </w:tcBorders>
            <w:vAlign w:val="center"/>
          </w:tcPr>
          <w:p w14:paraId="4DE90110" w14:textId="593DCF10" w:rsidR="000504E6" w:rsidRDefault="00E73F15" w:rsidP="000504E6">
            <w:pPr>
              <w:pStyle w:val="Numbertablecolumnheading-centered"/>
              <w:jc w:val="left"/>
            </w:pPr>
            <w:r>
              <w:t>Children</w:t>
            </w:r>
            <w:r w:rsidR="000504E6" w:rsidRPr="00010257">
              <w:t xml:space="preserve"> </w:t>
            </w:r>
            <w:r w:rsidR="000504E6">
              <w:t>with functional difficulties in more than one domain were counted in each</w:t>
            </w:r>
            <w:r w:rsidR="000504E6" w:rsidRPr="00010257">
              <w:t>.</w:t>
            </w:r>
          </w:p>
          <w:p w14:paraId="08B7D4CA" w14:textId="22C46B66" w:rsidR="000504E6" w:rsidRPr="00D37CD2" w:rsidRDefault="000504E6" w:rsidP="000504E6">
            <w:pPr>
              <w:pStyle w:val="Numbertablecolumnheading-centered"/>
              <w:jc w:val="left"/>
            </w:pPr>
            <w:r w:rsidRPr="00E726FC">
              <w:t xml:space="preserve">‘S’ means the data is suppressed </w:t>
            </w:r>
            <w:r>
              <w:t>because</w:t>
            </w:r>
            <w:r w:rsidRPr="00E726FC">
              <w:t xml:space="preserve"> numbers are too small to report.</w:t>
            </w:r>
          </w:p>
          <w:p w14:paraId="7B1D25F9" w14:textId="77777777" w:rsidR="000504E6" w:rsidRDefault="000504E6" w:rsidP="000504E6">
            <w:pPr>
              <w:pStyle w:val="Numbertablecolumnheading-centered"/>
              <w:jc w:val="left"/>
            </w:pPr>
            <w:r w:rsidRPr="4A07F070">
              <w:rPr>
                <w:b/>
              </w:rPr>
              <w:t>Source</w:t>
            </w:r>
            <w:r>
              <w:t>: Stats NZ</w:t>
            </w:r>
          </w:p>
        </w:tc>
      </w:tr>
    </w:tbl>
    <w:p w14:paraId="6F211827" w14:textId="7585AD57" w:rsidR="00486FDF" w:rsidRDefault="007501B0" w:rsidP="007501B0">
      <w:pPr>
        <w:spacing w:before="240"/>
        <w:rPr>
          <w:lang w:eastAsia="en-NZ"/>
        </w:rPr>
      </w:pPr>
      <w:r w:rsidRPr="007501B0">
        <w:rPr>
          <w:lang w:eastAsia="en-NZ"/>
        </w:rPr>
        <w:t xml:space="preserve">Some of the functional domains in </w:t>
      </w:r>
      <w:r w:rsidR="00054498">
        <w:rPr>
          <w:lang w:eastAsia="en-NZ"/>
        </w:rPr>
        <w:t xml:space="preserve">table 11 </w:t>
      </w:r>
      <w:r w:rsidRPr="007501B0">
        <w:rPr>
          <w:lang w:eastAsia="en-NZ"/>
        </w:rPr>
        <w:t>are small.</w:t>
      </w:r>
      <w:r w:rsidR="00A02E1C">
        <w:rPr>
          <w:lang w:eastAsia="en-NZ"/>
        </w:rPr>
        <w:t xml:space="preserve"> </w:t>
      </w:r>
      <w:r w:rsidRPr="007501B0">
        <w:rPr>
          <w:lang w:eastAsia="en-NZ"/>
        </w:rPr>
        <w:t xml:space="preserve">To disaggregate the data by demographic characteristics, domains were combined </w:t>
      </w:r>
      <w:r w:rsidR="00054498">
        <w:rPr>
          <w:lang w:eastAsia="en-NZ"/>
        </w:rPr>
        <w:t>(</w:t>
      </w:r>
      <w:r w:rsidRPr="007501B0">
        <w:rPr>
          <w:lang w:eastAsia="en-NZ"/>
        </w:rPr>
        <w:t xml:space="preserve">as shown </w:t>
      </w:r>
      <w:r w:rsidR="00054498">
        <w:rPr>
          <w:lang w:eastAsia="en-NZ"/>
        </w:rPr>
        <w:t>in table 12)</w:t>
      </w:r>
      <w:r w:rsidRPr="007501B0">
        <w:rPr>
          <w:lang w:eastAsia="en-NZ"/>
        </w:rPr>
        <w:t xml:space="preserve">. </w:t>
      </w:r>
    </w:p>
    <w:p w14:paraId="569A744F" w14:textId="334EBFCE" w:rsidR="007501B0" w:rsidRDefault="00054498" w:rsidP="007501B0">
      <w:pPr>
        <w:spacing w:before="240"/>
        <w:rPr>
          <w:lang w:eastAsia="en-NZ"/>
        </w:rPr>
      </w:pPr>
      <w:r>
        <w:rPr>
          <w:lang w:eastAsia="en-NZ"/>
        </w:rPr>
        <w:t>For the rest of this section on child domain rates, the grouped functional domains are used.</w:t>
      </w:r>
    </w:p>
    <w:p w14:paraId="00B59C5C" w14:textId="7B69D9C3" w:rsidR="007501B0" w:rsidRPr="00E6628C" w:rsidRDefault="007501B0" w:rsidP="007501B0">
      <w:pPr>
        <w:pStyle w:val="Figureandtablenumbers"/>
        <w:spacing w:before="0"/>
      </w:pPr>
      <w:r>
        <w:t>Table 1</w:t>
      </w:r>
      <w:r w:rsidR="008E4A93">
        <w:t>2</w:t>
      </w:r>
    </w:p>
    <w:p w14:paraId="523C247A" w14:textId="2F56D750" w:rsidR="007501B0" w:rsidRPr="000275D8" w:rsidRDefault="007501B0" w:rsidP="007501B0">
      <w:pPr>
        <w:pStyle w:val="Tabletitle-forhiding"/>
      </w:pPr>
      <w:bookmarkStart w:id="133" w:name="_Toc190426281"/>
      <w:r>
        <w:t>1</w:t>
      </w:r>
      <w:r w:rsidR="008E4A93">
        <w:t>2</w:t>
      </w:r>
      <w:r>
        <w:t xml:space="preserve"> Grouped functional domain disability rates for children</w:t>
      </w:r>
      <w:bookmarkEnd w:id="133"/>
      <w:r>
        <w:t xml:space="preserve"> </w:t>
      </w:r>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1985"/>
        <w:gridCol w:w="2925"/>
      </w:tblGrid>
      <w:tr w:rsidR="007501B0" w14:paraId="68A21B5F" w14:textId="77777777" w:rsidTr="009B1C87">
        <w:trPr>
          <w:trHeight w:val="420"/>
        </w:trPr>
        <w:tc>
          <w:tcPr>
            <w:tcW w:w="5000" w:type="pct"/>
            <w:gridSpan w:val="3"/>
            <w:tcBorders>
              <w:left w:val="single" w:sz="4" w:space="0" w:color="auto"/>
              <w:right w:val="single" w:sz="4" w:space="0" w:color="auto"/>
            </w:tcBorders>
            <w:vAlign w:val="center"/>
          </w:tcPr>
          <w:p w14:paraId="685038DB" w14:textId="19FB870B" w:rsidR="007501B0" w:rsidRDefault="007501B0" w:rsidP="009B1C87">
            <w:pPr>
              <w:pStyle w:val="Tabletitle1"/>
            </w:pPr>
            <w:r>
              <w:t xml:space="preserve">Grouped functional domain disability rates for children </w:t>
            </w:r>
          </w:p>
        </w:tc>
      </w:tr>
      <w:tr w:rsidR="007501B0" w14:paraId="34C4550D" w14:textId="77777777" w:rsidTr="009B1C87">
        <w:trPr>
          <w:trHeight w:val="420"/>
        </w:trPr>
        <w:tc>
          <w:tcPr>
            <w:tcW w:w="2277" w:type="pct"/>
            <w:tcBorders>
              <w:left w:val="single" w:sz="4" w:space="0" w:color="auto"/>
              <w:bottom w:val="single" w:sz="4" w:space="0" w:color="auto"/>
            </w:tcBorders>
            <w:vAlign w:val="center"/>
          </w:tcPr>
          <w:p w14:paraId="2E010858" w14:textId="77777777" w:rsidR="007501B0" w:rsidRPr="004A691B" w:rsidRDefault="007501B0" w:rsidP="009B1C87">
            <w:pPr>
              <w:pStyle w:val="Numbertablecolumnheading-leftaligned"/>
            </w:pPr>
            <w:r>
              <w:t>Grouped functional domains</w:t>
            </w:r>
          </w:p>
        </w:tc>
        <w:tc>
          <w:tcPr>
            <w:tcW w:w="1101" w:type="pct"/>
            <w:tcBorders>
              <w:bottom w:val="single" w:sz="4" w:space="0" w:color="auto"/>
            </w:tcBorders>
            <w:vAlign w:val="center"/>
          </w:tcPr>
          <w:p w14:paraId="78A9E2F8" w14:textId="77777777" w:rsidR="007501B0" w:rsidRPr="00B40B92" w:rsidRDefault="007501B0" w:rsidP="009B1C87">
            <w:pPr>
              <w:pStyle w:val="Numbertablecolumnheading-centered"/>
            </w:pPr>
            <w:r>
              <w:t>Disability rate (%)</w:t>
            </w:r>
          </w:p>
        </w:tc>
        <w:tc>
          <w:tcPr>
            <w:tcW w:w="1622" w:type="pct"/>
            <w:tcBorders>
              <w:bottom w:val="single" w:sz="4" w:space="0" w:color="auto"/>
              <w:right w:val="single" w:sz="4" w:space="0" w:color="auto"/>
            </w:tcBorders>
            <w:vAlign w:val="center"/>
          </w:tcPr>
          <w:p w14:paraId="28753D7B" w14:textId="2F32976D" w:rsidR="007501B0" w:rsidRPr="00E409C9" w:rsidRDefault="007501B0" w:rsidP="009B1C87">
            <w:pPr>
              <w:pStyle w:val="Numbertablecolumnheading-centered"/>
            </w:pPr>
            <w:r>
              <w:t xml:space="preserve">Number of disabled </w:t>
            </w:r>
            <w:r w:rsidR="00062991">
              <w:t>children</w:t>
            </w:r>
            <w:r>
              <w:t xml:space="preserve"> </w:t>
            </w:r>
          </w:p>
        </w:tc>
      </w:tr>
      <w:tr w:rsidR="003738A4" w14:paraId="6B6516D2" w14:textId="77777777" w:rsidTr="009B1C87">
        <w:trPr>
          <w:trHeight w:val="142"/>
        </w:trPr>
        <w:tc>
          <w:tcPr>
            <w:tcW w:w="2277" w:type="pct"/>
            <w:tcBorders>
              <w:top w:val="single" w:sz="4" w:space="0" w:color="auto"/>
              <w:left w:val="single" w:sz="4" w:space="0" w:color="auto"/>
              <w:bottom w:val="nil"/>
              <w:right w:val="nil"/>
            </w:tcBorders>
          </w:tcPr>
          <w:p w14:paraId="6AFFA47E" w14:textId="19AEB921" w:rsidR="003738A4" w:rsidRDefault="003738A4" w:rsidP="003738A4">
            <w:pPr>
              <w:pStyle w:val="Numbertablecolumnheading-leftaligned"/>
            </w:pPr>
            <w:r w:rsidRPr="00EC0835">
              <w:t>Mental health</w:t>
            </w:r>
            <w:r>
              <w:t xml:space="preserve"> – </w:t>
            </w:r>
            <w:r w:rsidRPr="00EC0835">
              <w:t>5 to 14 years</w:t>
            </w:r>
          </w:p>
        </w:tc>
        <w:tc>
          <w:tcPr>
            <w:tcW w:w="1101" w:type="pct"/>
            <w:tcBorders>
              <w:top w:val="single" w:sz="4" w:space="0" w:color="auto"/>
              <w:left w:val="nil"/>
              <w:bottom w:val="nil"/>
              <w:right w:val="nil"/>
            </w:tcBorders>
          </w:tcPr>
          <w:p w14:paraId="6C566EA1" w14:textId="22ABFEC7" w:rsidR="003738A4" w:rsidRPr="00676A28" w:rsidRDefault="003738A4" w:rsidP="003738A4">
            <w:pPr>
              <w:pStyle w:val="Numbertablecolumnheading-centered"/>
            </w:pPr>
            <w:r w:rsidRPr="006F76DF">
              <w:t>5</w:t>
            </w:r>
          </w:p>
        </w:tc>
        <w:tc>
          <w:tcPr>
            <w:tcW w:w="1622" w:type="pct"/>
            <w:tcBorders>
              <w:top w:val="single" w:sz="4" w:space="0" w:color="auto"/>
              <w:left w:val="nil"/>
              <w:bottom w:val="nil"/>
              <w:right w:val="single" w:sz="4" w:space="0" w:color="auto"/>
            </w:tcBorders>
          </w:tcPr>
          <w:p w14:paraId="4ADF163E" w14:textId="7FB16D50" w:rsidR="003738A4" w:rsidRPr="00676A28" w:rsidRDefault="003738A4" w:rsidP="003738A4">
            <w:pPr>
              <w:pStyle w:val="Numbertablecolumnheading-centered"/>
            </w:pPr>
            <w:r w:rsidRPr="006F76DF">
              <w:t>35,000</w:t>
            </w:r>
          </w:p>
        </w:tc>
      </w:tr>
      <w:tr w:rsidR="003738A4" w14:paraId="341738F3" w14:textId="77777777" w:rsidTr="009B1C87">
        <w:trPr>
          <w:trHeight w:val="288"/>
        </w:trPr>
        <w:tc>
          <w:tcPr>
            <w:tcW w:w="2277" w:type="pct"/>
            <w:tcBorders>
              <w:top w:val="nil"/>
              <w:left w:val="single" w:sz="4" w:space="0" w:color="auto"/>
              <w:bottom w:val="nil"/>
              <w:right w:val="nil"/>
            </w:tcBorders>
          </w:tcPr>
          <w:p w14:paraId="20296F60" w14:textId="17C7AF7D" w:rsidR="003738A4" w:rsidRPr="00E409C9" w:rsidRDefault="003738A4" w:rsidP="003738A4">
            <w:pPr>
              <w:pStyle w:val="Numbertablecolumnheading-leftaligned"/>
            </w:pPr>
            <w:r w:rsidRPr="00EC0835">
              <w:t>Accepting change to routine</w:t>
            </w:r>
            <w:r>
              <w:t xml:space="preserve"> – </w:t>
            </w:r>
            <w:r w:rsidRPr="00EC0835">
              <w:t>5 to 14 years</w:t>
            </w:r>
          </w:p>
        </w:tc>
        <w:tc>
          <w:tcPr>
            <w:tcW w:w="1101" w:type="pct"/>
            <w:tcBorders>
              <w:top w:val="nil"/>
              <w:left w:val="nil"/>
              <w:bottom w:val="nil"/>
              <w:right w:val="nil"/>
            </w:tcBorders>
          </w:tcPr>
          <w:p w14:paraId="70A27DBB" w14:textId="3910BC97" w:rsidR="003738A4" w:rsidRPr="008C60EC" w:rsidRDefault="003738A4" w:rsidP="003738A4">
            <w:pPr>
              <w:pStyle w:val="Numbertablecolumnheading-centered"/>
            </w:pPr>
            <w:r w:rsidRPr="006F76DF">
              <w:t>5</w:t>
            </w:r>
          </w:p>
        </w:tc>
        <w:tc>
          <w:tcPr>
            <w:tcW w:w="1622" w:type="pct"/>
            <w:tcBorders>
              <w:top w:val="nil"/>
              <w:left w:val="nil"/>
              <w:bottom w:val="nil"/>
              <w:right w:val="single" w:sz="4" w:space="0" w:color="auto"/>
            </w:tcBorders>
          </w:tcPr>
          <w:p w14:paraId="24BE5031" w14:textId="262522B6" w:rsidR="003738A4" w:rsidRPr="008C60EC" w:rsidRDefault="003738A4" w:rsidP="003738A4">
            <w:pPr>
              <w:pStyle w:val="Numbertablecolumnheading-centered"/>
            </w:pPr>
            <w:r w:rsidRPr="006F76DF">
              <w:t>35,000</w:t>
            </w:r>
          </w:p>
        </w:tc>
      </w:tr>
      <w:tr w:rsidR="003738A4" w14:paraId="685B2AA7" w14:textId="77777777" w:rsidTr="009B1C87">
        <w:trPr>
          <w:trHeight w:val="288"/>
        </w:trPr>
        <w:tc>
          <w:tcPr>
            <w:tcW w:w="2277" w:type="pct"/>
            <w:tcBorders>
              <w:top w:val="nil"/>
              <w:left w:val="single" w:sz="4" w:space="0" w:color="auto"/>
              <w:bottom w:val="nil"/>
              <w:right w:val="nil"/>
            </w:tcBorders>
          </w:tcPr>
          <w:p w14:paraId="79F09140" w14:textId="17FA7667" w:rsidR="003738A4" w:rsidRPr="00BB1E87" w:rsidRDefault="003738A4" w:rsidP="003738A4">
            <w:pPr>
              <w:pStyle w:val="Numbertablecolumnheading-leftaligned"/>
            </w:pPr>
            <w:r w:rsidRPr="00EC0835">
              <w:t>Making friends</w:t>
            </w:r>
            <w:r>
              <w:t xml:space="preserve"> – </w:t>
            </w:r>
            <w:r w:rsidRPr="00EC0835">
              <w:t>5 to 14 years</w:t>
            </w:r>
          </w:p>
        </w:tc>
        <w:tc>
          <w:tcPr>
            <w:tcW w:w="1101" w:type="pct"/>
            <w:tcBorders>
              <w:top w:val="nil"/>
              <w:left w:val="nil"/>
              <w:bottom w:val="nil"/>
              <w:right w:val="nil"/>
            </w:tcBorders>
          </w:tcPr>
          <w:p w14:paraId="1D012F53" w14:textId="77777777" w:rsidR="003738A4" w:rsidRPr="008C60EC" w:rsidRDefault="003738A4" w:rsidP="003738A4">
            <w:pPr>
              <w:pStyle w:val="Numbertablecolumnheading-centered"/>
            </w:pPr>
            <w:r w:rsidRPr="006F76DF">
              <w:t>4</w:t>
            </w:r>
          </w:p>
        </w:tc>
        <w:tc>
          <w:tcPr>
            <w:tcW w:w="1622" w:type="pct"/>
            <w:tcBorders>
              <w:top w:val="nil"/>
              <w:left w:val="nil"/>
              <w:bottom w:val="nil"/>
              <w:right w:val="single" w:sz="4" w:space="0" w:color="auto"/>
            </w:tcBorders>
          </w:tcPr>
          <w:p w14:paraId="51814C5B" w14:textId="0C9548DB" w:rsidR="003738A4" w:rsidRPr="008C60EC" w:rsidRDefault="003738A4" w:rsidP="003738A4">
            <w:pPr>
              <w:pStyle w:val="Numbertablecolumnheading-centered"/>
            </w:pPr>
            <w:r w:rsidRPr="006F76DF">
              <w:t>25,000</w:t>
            </w:r>
          </w:p>
        </w:tc>
      </w:tr>
      <w:tr w:rsidR="00A454D5" w14:paraId="7C528CFC" w14:textId="77777777" w:rsidTr="009B1C87">
        <w:trPr>
          <w:trHeight w:val="288"/>
        </w:trPr>
        <w:tc>
          <w:tcPr>
            <w:tcW w:w="2277" w:type="pct"/>
            <w:tcBorders>
              <w:top w:val="nil"/>
              <w:left w:val="single" w:sz="4" w:space="0" w:color="auto"/>
              <w:bottom w:val="nil"/>
              <w:right w:val="nil"/>
            </w:tcBorders>
          </w:tcPr>
          <w:p w14:paraId="49601711" w14:textId="2457C97C" w:rsidR="00A454D5" w:rsidRPr="00EC0835" w:rsidRDefault="00A454D5" w:rsidP="00A454D5">
            <w:pPr>
              <w:pStyle w:val="Numbertablecolumnheading-leftaligned"/>
            </w:pPr>
            <w:r w:rsidRPr="00EC0835">
              <w:t>Other (communication, personal care, intellectual, playing</w:t>
            </w:r>
            <w:r w:rsidR="003E775F">
              <w:t>,</w:t>
            </w:r>
            <w:r w:rsidRPr="00EC0835">
              <w:t xml:space="preserve"> </w:t>
            </w:r>
            <w:r w:rsidR="00B703A3">
              <w:t>and</w:t>
            </w:r>
            <w:r w:rsidRPr="00EC0835">
              <w:t xml:space="preserve"> developmental delay)</w:t>
            </w:r>
            <w:r>
              <w:t xml:space="preserve"> – </w:t>
            </w:r>
            <w:r w:rsidRPr="00EC0835">
              <w:t>0 to 14 years</w:t>
            </w:r>
          </w:p>
        </w:tc>
        <w:tc>
          <w:tcPr>
            <w:tcW w:w="1101" w:type="pct"/>
            <w:tcBorders>
              <w:top w:val="nil"/>
              <w:left w:val="nil"/>
              <w:bottom w:val="nil"/>
              <w:right w:val="nil"/>
            </w:tcBorders>
          </w:tcPr>
          <w:p w14:paraId="0661C943" w14:textId="4D35CBA3" w:rsidR="00A454D5" w:rsidRPr="006F76DF" w:rsidRDefault="00A454D5" w:rsidP="00A454D5">
            <w:pPr>
              <w:pStyle w:val="Numbertablecolumnheading-centered"/>
            </w:pPr>
            <w:r w:rsidRPr="006F76DF">
              <w:t>3</w:t>
            </w:r>
          </w:p>
        </w:tc>
        <w:tc>
          <w:tcPr>
            <w:tcW w:w="1622" w:type="pct"/>
            <w:tcBorders>
              <w:top w:val="nil"/>
              <w:left w:val="nil"/>
              <w:bottom w:val="nil"/>
              <w:right w:val="single" w:sz="4" w:space="0" w:color="auto"/>
            </w:tcBorders>
          </w:tcPr>
          <w:p w14:paraId="7072B9E6" w14:textId="23D1FC51" w:rsidR="00A454D5" w:rsidRPr="006F76DF" w:rsidRDefault="00A454D5" w:rsidP="00A454D5">
            <w:pPr>
              <w:pStyle w:val="Numbertablecolumnheading-centered"/>
            </w:pPr>
            <w:r w:rsidRPr="006F76DF">
              <w:t>32,000</w:t>
            </w:r>
          </w:p>
        </w:tc>
      </w:tr>
      <w:tr w:rsidR="00A454D5" w14:paraId="115B9E80" w14:textId="77777777" w:rsidTr="009B1C87">
        <w:trPr>
          <w:trHeight w:val="288"/>
        </w:trPr>
        <w:tc>
          <w:tcPr>
            <w:tcW w:w="2277" w:type="pct"/>
            <w:tcBorders>
              <w:top w:val="nil"/>
              <w:left w:val="single" w:sz="4" w:space="0" w:color="auto"/>
              <w:bottom w:val="nil"/>
              <w:right w:val="nil"/>
            </w:tcBorders>
          </w:tcPr>
          <w:p w14:paraId="348AC6A4" w14:textId="24253B01" w:rsidR="00A454D5" w:rsidRPr="00EC0835" w:rsidRDefault="00A454D5" w:rsidP="00A454D5">
            <w:pPr>
              <w:pStyle w:val="Numbertablecolumnheading-leftaligned"/>
            </w:pPr>
            <w:r w:rsidRPr="00EC0835">
              <w:t>Controlling own behaviour</w:t>
            </w:r>
            <w:r>
              <w:t xml:space="preserve"> – </w:t>
            </w:r>
            <w:r w:rsidRPr="00EC0835">
              <w:t>2 to 14 years</w:t>
            </w:r>
          </w:p>
        </w:tc>
        <w:tc>
          <w:tcPr>
            <w:tcW w:w="1101" w:type="pct"/>
            <w:tcBorders>
              <w:top w:val="nil"/>
              <w:left w:val="nil"/>
              <w:bottom w:val="nil"/>
              <w:right w:val="nil"/>
            </w:tcBorders>
          </w:tcPr>
          <w:p w14:paraId="4AF36289" w14:textId="43554D8F" w:rsidR="00A454D5" w:rsidRPr="006F76DF" w:rsidRDefault="00A454D5" w:rsidP="00A454D5">
            <w:pPr>
              <w:pStyle w:val="Numbertablecolumnheading-centered"/>
            </w:pPr>
            <w:r w:rsidRPr="006F76DF">
              <w:t>3</w:t>
            </w:r>
          </w:p>
        </w:tc>
        <w:tc>
          <w:tcPr>
            <w:tcW w:w="1622" w:type="pct"/>
            <w:tcBorders>
              <w:top w:val="nil"/>
              <w:left w:val="nil"/>
              <w:bottom w:val="nil"/>
              <w:right w:val="single" w:sz="4" w:space="0" w:color="auto"/>
            </w:tcBorders>
          </w:tcPr>
          <w:p w14:paraId="7617FD41" w14:textId="3A8D49A1" w:rsidR="00A454D5" w:rsidRPr="006F76DF" w:rsidRDefault="00A454D5" w:rsidP="00A454D5">
            <w:pPr>
              <w:pStyle w:val="Numbertablecolumnheading-centered"/>
            </w:pPr>
            <w:r w:rsidRPr="006F76DF">
              <w:t>30,000</w:t>
            </w:r>
          </w:p>
        </w:tc>
      </w:tr>
      <w:tr w:rsidR="00A454D5" w14:paraId="3C5F8EEC" w14:textId="77777777" w:rsidTr="009B1C87">
        <w:trPr>
          <w:trHeight w:val="288"/>
        </w:trPr>
        <w:tc>
          <w:tcPr>
            <w:tcW w:w="2277" w:type="pct"/>
            <w:tcBorders>
              <w:top w:val="nil"/>
              <w:left w:val="single" w:sz="4" w:space="0" w:color="auto"/>
              <w:bottom w:val="nil"/>
              <w:right w:val="nil"/>
            </w:tcBorders>
          </w:tcPr>
          <w:p w14:paraId="0C804294" w14:textId="56D95CA8" w:rsidR="00A454D5" w:rsidRDefault="00A454D5" w:rsidP="00A454D5">
            <w:pPr>
              <w:pStyle w:val="Numbertablecolumnheading-leftaligned"/>
            </w:pPr>
            <w:r w:rsidRPr="00EC0835">
              <w:t>Cognition (learning, remembering</w:t>
            </w:r>
            <w:r w:rsidR="00B703A3">
              <w:t>,</w:t>
            </w:r>
            <w:r w:rsidRPr="00EC0835">
              <w:t xml:space="preserve"> </w:t>
            </w:r>
            <w:r w:rsidR="00B703A3">
              <w:t>and</w:t>
            </w:r>
            <w:r w:rsidRPr="00EC0835">
              <w:t xml:space="preserve"> concentrating</w:t>
            </w:r>
            <w:r>
              <w:t xml:space="preserve">) – </w:t>
            </w:r>
            <w:r w:rsidRPr="00EC0835">
              <w:t>2 to 14 years</w:t>
            </w:r>
          </w:p>
        </w:tc>
        <w:tc>
          <w:tcPr>
            <w:tcW w:w="1101" w:type="pct"/>
            <w:tcBorders>
              <w:top w:val="nil"/>
              <w:left w:val="nil"/>
              <w:bottom w:val="nil"/>
              <w:right w:val="nil"/>
            </w:tcBorders>
          </w:tcPr>
          <w:p w14:paraId="2F86EF8C" w14:textId="77777777" w:rsidR="00A454D5" w:rsidRPr="008C60EC" w:rsidRDefault="00A454D5" w:rsidP="00A454D5">
            <w:pPr>
              <w:pStyle w:val="Numbertablecolumnheading-centered"/>
            </w:pPr>
            <w:r w:rsidRPr="006F76DF">
              <w:t>3</w:t>
            </w:r>
          </w:p>
        </w:tc>
        <w:tc>
          <w:tcPr>
            <w:tcW w:w="1622" w:type="pct"/>
            <w:tcBorders>
              <w:top w:val="nil"/>
              <w:left w:val="nil"/>
              <w:bottom w:val="nil"/>
              <w:right w:val="single" w:sz="4" w:space="0" w:color="auto"/>
            </w:tcBorders>
          </w:tcPr>
          <w:p w14:paraId="66A0A825" w14:textId="639F1E40" w:rsidR="00A454D5" w:rsidRPr="008C60EC" w:rsidRDefault="00A454D5" w:rsidP="00A454D5">
            <w:pPr>
              <w:pStyle w:val="Numbertablecolumnheading-centered"/>
            </w:pPr>
            <w:r w:rsidRPr="006F76DF">
              <w:t>29,000</w:t>
            </w:r>
          </w:p>
        </w:tc>
      </w:tr>
      <w:tr w:rsidR="00A454D5" w14:paraId="4980B3D2" w14:textId="77777777" w:rsidTr="009B1C87">
        <w:trPr>
          <w:trHeight w:val="288"/>
        </w:trPr>
        <w:tc>
          <w:tcPr>
            <w:tcW w:w="2277" w:type="pct"/>
            <w:tcBorders>
              <w:top w:val="nil"/>
              <w:left w:val="single" w:sz="4" w:space="0" w:color="auto"/>
              <w:bottom w:val="nil"/>
              <w:right w:val="nil"/>
            </w:tcBorders>
          </w:tcPr>
          <w:p w14:paraId="604059A7" w14:textId="6BC4853A" w:rsidR="00A454D5" w:rsidRPr="00B12ED9" w:rsidRDefault="00A454D5" w:rsidP="00A454D5">
            <w:pPr>
              <w:pStyle w:val="Numbertablecolumnheading-leftaligned"/>
            </w:pPr>
            <w:r w:rsidRPr="00EC0835">
              <w:t xml:space="preserve">Physical (walking </w:t>
            </w:r>
            <w:r w:rsidR="00B703A3">
              <w:t>and</w:t>
            </w:r>
            <w:r w:rsidRPr="00EC0835">
              <w:t xml:space="preserve"> flexibility/dexterity)</w:t>
            </w:r>
            <w:r>
              <w:t xml:space="preserve"> – </w:t>
            </w:r>
            <w:r w:rsidRPr="00EC0835">
              <w:t>0 to 14 years</w:t>
            </w:r>
          </w:p>
        </w:tc>
        <w:tc>
          <w:tcPr>
            <w:tcW w:w="1101" w:type="pct"/>
            <w:tcBorders>
              <w:top w:val="nil"/>
              <w:left w:val="nil"/>
              <w:bottom w:val="nil"/>
              <w:right w:val="nil"/>
            </w:tcBorders>
          </w:tcPr>
          <w:p w14:paraId="1FBC39B5" w14:textId="78E967BD" w:rsidR="00A454D5" w:rsidRPr="00B12ED9" w:rsidRDefault="00A454D5" w:rsidP="00A454D5">
            <w:pPr>
              <w:pStyle w:val="Numbertablecolumnheading-centered"/>
            </w:pPr>
            <w:r w:rsidRPr="006F76DF">
              <w:t>1</w:t>
            </w:r>
          </w:p>
        </w:tc>
        <w:tc>
          <w:tcPr>
            <w:tcW w:w="1622" w:type="pct"/>
            <w:tcBorders>
              <w:top w:val="nil"/>
              <w:left w:val="nil"/>
              <w:bottom w:val="nil"/>
              <w:right w:val="single" w:sz="4" w:space="0" w:color="auto"/>
            </w:tcBorders>
          </w:tcPr>
          <w:p w14:paraId="12FE86A9" w14:textId="34E31672" w:rsidR="00A454D5" w:rsidRPr="00B12ED9" w:rsidRDefault="00A454D5" w:rsidP="00A454D5">
            <w:pPr>
              <w:pStyle w:val="Numbertablecolumnheading-centered"/>
            </w:pPr>
            <w:r w:rsidRPr="006F76DF">
              <w:t>7,000</w:t>
            </w:r>
          </w:p>
        </w:tc>
      </w:tr>
      <w:tr w:rsidR="00A454D5" w14:paraId="01C1EA98" w14:textId="77777777" w:rsidTr="009B1C87">
        <w:trPr>
          <w:trHeight w:val="288"/>
        </w:trPr>
        <w:tc>
          <w:tcPr>
            <w:tcW w:w="2277" w:type="pct"/>
            <w:tcBorders>
              <w:top w:val="nil"/>
              <w:left w:val="single" w:sz="4" w:space="0" w:color="auto"/>
              <w:bottom w:val="nil"/>
              <w:right w:val="nil"/>
            </w:tcBorders>
          </w:tcPr>
          <w:p w14:paraId="697F627E" w14:textId="6D37E6FF" w:rsidR="00A454D5" w:rsidRPr="00B12ED9" w:rsidRDefault="00A454D5" w:rsidP="00A454D5">
            <w:pPr>
              <w:pStyle w:val="Numbertablecolumnheading-leftaligned"/>
            </w:pPr>
            <w:r w:rsidRPr="00EC0835">
              <w:t xml:space="preserve">Sensory (seeing </w:t>
            </w:r>
            <w:r w:rsidR="00B703A3">
              <w:t>and</w:t>
            </w:r>
            <w:r w:rsidRPr="00EC0835">
              <w:t xml:space="preserve"> hearing)</w:t>
            </w:r>
            <w:r>
              <w:t xml:space="preserve"> – </w:t>
            </w:r>
            <w:r w:rsidRPr="00EC0835">
              <w:t>0 to 14 years</w:t>
            </w:r>
          </w:p>
        </w:tc>
        <w:tc>
          <w:tcPr>
            <w:tcW w:w="1101" w:type="pct"/>
            <w:tcBorders>
              <w:top w:val="nil"/>
              <w:left w:val="nil"/>
              <w:bottom w:val="nil"/>
              <w:right w:val="nil"/>
            </w:tcBorders>
          </w:tcPr>
          <w:p w14:paraId="56F2687E" w14:textId="7E1A46DC" w:rsidR="00A454D5" w:rsidRPr="00B12ED9" w:rsidRDefault="00A454D5" w:rsidP="00A454D5">
            <w:pPr>
              <w:pStyle w:val="Numbertablecolumnheading-centered"/>
            </w:pPr>
            <w:r w:rsidRPr="006F76DF">
              <w:t>&lt; 0.5</w:t>
            </w:r>
          </w:p>
        </w:tc>
        <w:tc>
          <w:tcPr>
            <w:tcW w:w="1622" w:type="pct"/>
            <w:tcBorders>
              <w:top w:val="nil"/>
              <w:left w:val="nil"/>
              <w:bottom w:val="nil"/>
              <w:right w:val="single" w:sz="4" w:space="0" w:color="auto"/>
            </w:tcBorders>
          </w:tcPr>
          <w:p w14:paraId="2C9F991E" w14:textId="6EC71819" w:rsidR="00A454D5" w:rsidRPr="00B12ED9" w:rsidRDefault="00A454D5" w:rsidP="00A454D5">
            <w:pPr>
              <w:pStyle w:val="Numbertablecolumnheading-centered"/>
            </w:pPr>
            <w:r w:rsidRPr="006F76DF">
              <w:t>3,000</w:t>
            </w:r>
          </w:p>
        </w:tc>
      </w:tr>
      <w:tr w:rsidR="00A454D5" w14:paraId="3B292FEE" w14:textId="77777777" w:rsidTr="009B1C87">
        <w:trPr>
          <w:trHeight w:val="288"/>
        </w:trPr>
        <w:tc>
          <w:tcPr>
            <w:tcW w:w="2277" w:type="pct"/>
            <w:tcBorders>
              <w:top w:val="nil"/>
              <w:left w:val="single" w:sz="4" w:space="0" w:color="auto"/>
              <w:bottom w:val="single" w:sz="4" w:space="0" w:color="auto"/>
              <w:right w:val="nil"/>
            </w:tcBorders>
          </w:tcPr>
          <w:p w14:paraId="4BD1FA27" w14:textId="68D98B3A" w:rsidR="00A454D5" w:rsidRPr="00BB1E87" w:rsidRDefault="00A454D5" w:rsidP="00A454D5">
            <w:pPr>
              <w:pStyle w:val="Numbertablecolumnheading-leftaligned"/>
            </w:pPr>
            <w:r w:rsidRPr="00EC0835">
              <w:t>Total</w:t>
            </w:r>
            <w:r>
              <w:t xml:space="preserve"> – </w:t>
            </w:r>
            <w:r w:rsidRPr="00EC0835">
              <w:t>0 to 14 years</w:t>
            </w:r>
          </w:p>
        </w:tc>
        <w:tc>
          <w:tcPr>
            <w:tcW w:w="1101" w:type="pct"/>
            <w:tcBorders>
              <w:top w:val="nil"/>
              <w:left w:val="nil"/>
              <w:bottom w:val="single" w:sz="4" w:space="0" w:color="auto"/>
              <w:right w:val="nil"/>
            </w:tcBorders>
          </w:tcPr>
          <w:p w14:paraId="517685BB" w14:textId="4A121D54" w:rsidR="00A454D5" w:rsidRPr="008C60EC" w:rsidRDefault="00A454D5" w:rsidP="00A454D5">
            <w:pPr>
              <w:pStyle w:val="Numbertablecolumnheading-centered"/>
            </w:pPr>
            <w:r w:rsidRPr="006F76DF">
              <w:t>10</w:t>
            </w:r>
          </w:p>
        </w:tc>
        <w:tc>
          <w:tcPr>
            <w:tcW w:w="1622" w:type="pct"/>
            <w:tcBorders>
              <w:top w:val="nil"/>
              <w:left w:val="nil"/>
              <w:bottom w:val="single" w:sz="4" w:space="0" w:color="auto"/>
              <w:right w:val="single" w:sz="4" w:space="0" w:color="auto"/>
            </w:tcBorders>
          </w:tcPr>
          <w:p w14:paraId="4AF52F6C" w14:textId="633B3982" w:rsidR="00A454D5" w:rsidRPr="008C60EC" w:rsidRDefault="00A454D5" w:rsidP="00A454D5">
            <w:pPr>
              <w:pStyle w:val="Numbertablecolumnheading-centered"/>
            </w:pPr>
            <w:r w:rsidRPr="006F76DF">
              <w:t>98,000</w:t>
            </w:r>
          </w:p>
        </w:tc>
      </w:tr>
      <w:tr w:rsidR="00A454D5" w14:paraId="0D91A5B5" w14:textId="77777777" w:rsidTr="009B1C87">
        <w:trPr>
          <w:trHeight w:val="288"/>
        </w:trPr>
        <w:tc>
          <w:tcPr>
            <w:tcW w:w="5000" w:type="pct"/>
            <w:gridSpan w:val="3"/>
            <w:tcBorders>
              <w:top w:val="single" w:sz="4" w:space="0" w:color="auto"/>
              <w:left w:val="single" w:sz="4" w:space="0" w:color="auto"/>
              <w:right w:val="single" w:sz="4" w:space="0" w:color="auto"/>
            </w:tcBorders>
            <w:vAlign w:val="center"/>
          </w:tcPr>
          <w:p w14:paraId="3620944E" w14:textId="3A19AB44" w:rsidR="00A454D5" w:rsidRPr="00D37CD2" w:rsidRDefault="00E73F15" w:rsidP="00A454D5">
            <w:pPr>
              <w:pStyle w:val="Numbertablecolumnheading-centered"/>
              <w:jc w:val="left"/>
            </w:pPr>
            <w:r>
              <w:t>Children</w:t>
            </w:r>
            <w:r w:rsidR="00A454D5" w:rsidRPr="00010257">
              <w:t xml:space="preserve"> </w:t>
            </w:r>
            <w:r w:rsidR="00A454D5">
              <w:t>with functional difficulties in more than one domain were counted in each</w:t>
            </w:r>
            <w:r w:rsidR="00A454D5" w:rsidRPr="00010257">
              <w:t>.</w:t>
            </w:r>
          </w:p>
          <w:p w14:paraId="1AE63BD2" w14:textId="77777777" w:rsidR="00A454D5" w:rsidRDefault="00A454D5" w:rsidP="00A454D5">
            <w:pPr>
              <w:pStyle w:val="Numbertablecolumnheading-centered"/>
              <w:jc w:val="left"/>
            </w:pPr>
            <w:r w:rsidRPr="4A07F070">
              <w:rPr>
                <w:b/>
              </w:rPr>
              <w:t>Source</w:t>
            </w:r>
            <w:r>
              <w:t>: Stats NZ</w:t>
            </w:r>
          </w:p>
        </w:tc>
      </w:tr>
    </w:tbl>
    <w:p w14:paraId="1932CB5C" w14:textId="474F03F9" w:rsidR="00524215" w:rsidRDefault="00524215" w:rsidP="00524215">
      <w:pPr>
        <w:pStyle w:val="Heading3"/>
      </w:pPr>
      <w:bookmarkStart w:id="134" w:name="_Toc187762886"/>
      <w:bookmarkStart w:id="135" w:name="_Toc187763847"/>
      <w:bookmarkStart w:id="136" w:name="_Toc190856850"/>
      <w:r>
        <w:t>5.2.1 By gender</w:t>
      </w:r>
      <w:bookmarkEnd w:id="134"/>
      <w:bookmarkEnd w:id="135"/>
      <w:bookmarkEnd w:id="136"/>
      <w:r w:rsidR="00A02E1C">
        <w:t xml:space="preserve"> </w:t>
      </w:r>
    </w:p>
    <w:p w14:paraId="5DE7E389" w14:textId="45CEC07C" w:rsidR="008B6F93" w:rsidRDefault="3671439C" w:rsidP="00524215">
      <w:pPr>
        <w:spacing w:after="160" w:line="259" w:lineRule="auto"/>
      </w:pPr>
      <w:r w:rsidRPr="3524BD2A">
        <w:t xml:space="preserve">Boys were more likely than girls to be disabled with </w:t>
      </w:r>
      <w:r w:rsidR="3D976D95" w:rsidRPr="3524BD2A">
        <w:t>disability</w:t>
      </w:r>
      <w:r w:rsidRPr="3524BD2A">
        <w:t xml:space="preserve"> rates of 12 and 8 percent respectively. Contributing to their higher </w:t>
      </w:r>
      <w:r w:rsidR="35ECEF90" w:rsidRPr="3524BD2A">
        <w:t xml:space="preserve">disability </w:t>
      </w:r>
      <w:r w:rsidRPr="3524BD2A">
        <w:t xml:space="preserve">rate, boys had significantly higher rates of disability in </w:t>
      </w:r>
      <w:r w:rsidR="5CE9A1B3" w:rsidRPr="3524BD2A">
        <w:t>five</w:t>
      </w:r>
      <w:r w:rsidRPr="3524BD2A">
        <w:t xml:space="preserve"> functional domains: </w:t>
      </w:r>
    </w:p>
    <w:p w14:paraId="06375FF6" w14:textId="2A6486F6" w:rsidR="008B6F93" w:rsidRDefault="00871BE4" w:rsidP="00193255">
      <w:pPr>
        <w:pStyle w:val="ListParagraph"/>
        <w:numPr>
          <w:ilvl w:val="0"/>
          <w:numId w:val="35"/>
        </w:numPr>
        <w:spacing w:after="160" w:line="259" w:lineRule="auto"/>
      </w:pPr>
      <w:r w:rsidRPr="00871BE4">
        <w:t>accepting change to routine</w:t>
      </w:r>
    </w:p>
    <w:p w14:paraId="39498D44" w14:textId="6D9A54DF" w:rsidR="008B6F93" w:rsidRDefault="000843F4" w:rsidP="00193255">
      <w:pPr>
        <w:pStyle w:val="ListParagraph"/>
        <w:numPr>
          <w:ilvl w:val="0"/>
          <w:numId w:val="35"/>
        </w:numPr>
        <w:spacing w:after="160" w:line="259" w:lineRule="auto"/>
      </w:pPr>
      <w:r w:rsidRPr="00871BE4">
        <w:t>making friends</w:t>
      </w:r>
    </w:p>
    <w:p w14:paraId="0C2CC8E7" w14:textId="045AF854" w:rsidR="008B6F93" w:rsidRDefault="0051023C" w:rsidP="00193255">
      <w:pPr>
        <w:pStyle w:val="ListParagraph"/>
        <w:numPr>
          <w:ilvl w:val="0"/>
          <w:numId w:val="35"/>
        </w:numPr>
        <w:tabs>
          <w:tab w:val="left" w:pos="2300"/>
        </w:tabs>
        <w:spacing w:after="160" w:line="259" w:lineRule="auto"/>
      </w:pPr>
      <w:r>
        <w:t>the ‘other’ domain</w:t>
      </w:r>
      <w:r w:rsidR="008B6F93">
        <w:tab/>
      </w:r>
    </w:p>
    <w:p w14:paraId="041DB4F1" w14:textId="4E41DB87" w:rsidR="008B6F93" w:rsidRDefault="00871BE4" w:rsidP="00193255">
      <w:pPr>
        <w:pStyle w:val="ListParagraph"/>
        <w:numPr>
          <w:ilvl w:val="0"/>
          <w:numId w:val="35"/>
        </w:numPr>
        <w:tabs>
          <w:tab w:val="left" w:pos="2300"/>
        </w:tabs>
        <w:spacing w:after="160" w:line="259" w:lineRule="auto"/>
      </w:pPr>
      <w:r w:rsidRPr="00871BE4">
        <w:t>controlling their own behaviour</w:t>
      </w:r>
    </w:p>
    <w:p w14:paraId="2D90D115" w14:textId="33CE158E" w:rsidR="009A2626" w:rsidRDefault="00871BE4" w:rsidP="00193255">
      <w:pPr>
        <w:pStyle w:val="ListParagraph"/>
        <w:numPr>
          <w:ilvl w:val="0"/>
          <w:numId w:val="35"/>
        </w:numPr>
        <w:tabs>
          <w:tab w:val="left" w:pos="2300"/>
        </w:tabs>
        <w:spacing w:after="160" w:line="259" w:lineRule="auto"/>
      </w:pPr>
      <w:r w:rsidRPr="00871BE4">
        <w:t xml:space="preserve">cognition. </w:t>
      </w:r>
    </w:p>
    <w:p w14:paraId="4D65CD2E" w14:textId="52FF58C0" w:rsidR="00871BE4" w:rsidRDefault="00871BE4" w:rsidP="00524215">
      <w:pPr>
        <w:spacing w:after="160" w:line="259" w:lineRule="auto"/>
      </w:pPr>
      <w:r w:rsidRPr="00871BE4">
        <w:t xml:space="preserve">For the remaining </w:t>
      </w:r>
      <w:r w:rsidR="009A2626">
        <w:t>three</w:t>
      </w:r>
      <w:r w:rsidR="002B3A51">
        <w:t xml:space="preserve"> domains</w:t>
      </w:r>
      <w:r w:rsidRPr="00871BE4">
        <w:t xml:space="preserve"> (</w:t>
      </w:r>
      <w:r w:rsidR="000843F4">
        <w:t xml:space="preserve">mental health, physical, and </w:t>
      </w:r>
      <w:r w:rsidRPr="00871BE4">
        <w:t xml:space="preserve">sensory), the differences between </w:t>
      </w:r>
      <w:r w:rsidR="00786CF6" w:rsidRPr="00871BE4">
        <w:t>disab</w:t>
      </w:r>
      <w:r w:rsidR="00786CF6">
        <w:t>ility</w:t>
      </w:r>
      <w:r w:rsidR="00786CF6" w:rsidRPr="00871BE4">
        <w:t xml:space="preserve"> </w:t>
      </w:r>
      <w:r w:rsidRPr="00871BE4">
        <w:t>rates for boys and girls were not statistically significant.</w:t>
      </w:r>
    </w:p>
    <w:p w14:paraId="13A78A66" w14:textId="77777777" w:rsidR="00057192" w:rsidRDefault="00057192" w:rsidP="00871BE4">
      <w:pPr>
        <w:pStyle w:val="Figureandtablenumbers"/>
        <w:spacing w:before="0"/>
      </w:pPr>
      <w:r>
        <w:br/>
      </w:r>
    </w:p>
    <w:p w14:paraId="049BFB80" w14:textId="70840458" w:rsidR="00871BE4" w:rsidRPr="00E6628C" w:rsidRDefault="00871BE4" w:rsidP="00871BE4">
      <w:pPr>
        <w:pStyle w:val="Figureandtablenumbers"/>
        <w:spacing w:before="0"/>
      </w:pPr>
      <w:r>
        <w:t>Table 1</w:t>
      </w:r>
      <w:r w:rsidR="008E4A93">
        <w:t>3</w:t>
      </w:r>
    </w:p>
    <w:p w14:paraId="6F0C0030" w14:textId="7988897A" w:rsidR="00871BE4" w:rsidRPr="000275D8" w:rsidRDefault="00871BE4" w:rsidP="00871BE4">
      <w:pPr>
        <w:pStyle w:val="Tabletitle-forhiding"/>
      </w:pPr>
      <w:bookmarkStart w:id="137" w:name="_Toc190426282"/>
      <w:r>
        <w:t>1</w:t>
      </w:r>
      <w:r w:rsidR="008E4A93">
        <w:t>3</w:t>
      </w:r>
      <w:r>
        <w:t xml:space="preserve"> Grouped functional domain disability rates for children, by gender</w:t>
      </w:r>
      <w:bookmarkEnd w:id="137"/>
    </w:p>
    <w:tbl>
      <w:tblPr>
        <w:tblW w:w="5000" w:type="pct"/>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07"/>
        <w:gridCol w:w="885"/>
        <w:gridCol w:w="1084"/>
        <w:gridCol w:w="889"/>
        <w:gridCol w:w="1100"/>
        <w:gridCol w:w="885"/>
        <w:gridCol w:w="1066"/>
      </w:tblGrid>
      <w:tr w:rsidR="00871BE4" w14:paraId="7DBFCBCD" w14:textId="77777777" w:rsidTr="009B1C87">
        <w:trPr>
          <w:trHeight w:val="413"/>
        </w:trPr>
        <w:tc>
          <w:tcPr>
            <w:tcW w:w="5000" w:type="pct"/>
            <w:gridSpan w:val="7"/>
            <w:tcBorders>
              <w:left w:val="single" w:sz="4" w:space="0" w:color="auto"/>
              <w:right w:val="single" w:sz="4" w:space="0" w:color="auto"/>
            </w:tcBorders>
          </w:tcPr>
          <w:p w14:paraId="3A703576" w14:textId="7B117B3F" w:rsidR="00871BE4" w:rsidRPr="00B40B92" w:rsidRDefault="00871BE4" w:rsidP="009B1C87">
            <w:pPr>
              <w:pStyle w:val="Tabletitle1"/>
            </w:pPr>
            <w:r>
              <w:t>Grouped functional domain disability rates for children, by gender</w:t>
            </w:r>
            <w:r w:rsidR="00A02E1C">
              <w:t xml:space="preserve"> </w:t>
            </w:r>
          </w:p>
        </w:tc>
      </w:tr>
      <w:tr w:rsidR="008810D4" w14:paraId="1FD88F5C" w14:textId="77777777" w:rsidTr="00564B8D">
        <w:trPr>
          <w:trHeight w:val="325"/>
        </w:trPr>
        <w:tc>
          <w:tcPr>
            <w:tcW w:w="1723" w:type="pct"/>
            <w:vMerge w:val="restart"/>
            <w:tcBorders>
              <w:left w:val="single" w:sz="4" w:space="0" w:color="auto"/>
            </w:tcBorders>
            <w:vAlign w:val="center"/>
          </w:tcPr>
          <w:p w14:paraId="41FA72CE" w14:textId="77777777" w:rsidR="00871BE4" w:rsidRPr="004A691B" w:rsidRDefault="00871BE4" w:rsidP="009B1C87">
            <w:pPr>
              <w:pStyle w:val="Numbertablecolumnheading-leftaligned"/>
            </w:pPr>
            <w:r>
              <w:t>Grouped functional domains</w:t>
            </w:r>
          </w:p>
        </w:tc>
        <w:tc>
          <w:tcPr>
            <w:tcW w:w="1092" w:type="pct"/>
            <w:gridSpan w:val="2"/>
            <w:vAlign w:val="center"/>
          </w:tcPr>
          <w:p w14:paraId="40132213" w14:textId="2C4A0E9F" w:rsidR="00871BE4" w:rsidRDefault="00871BE4" w:rsidP="009B1C87">
            <w:pPr>
              <w:pStyle w:val="Numbertablecolumnheading-centered"/>
            </w:pPr>
            <w:r>
              <w:t>Total children</w:t>
            </w:r>
          </w:p>
        </w:tc>
        <w:tc>
          <w:tcPr>
            <w:tcW w:w="1103" w:type="pct"/>
            <w:gridSpan w:val="2"/>
            <w:vAlign w:val="center"/>
          </w:tcPr>
          <w:p w14:paraId="390F198E" w14:textId="1C8B259E" w:rsidR="00871BE4" w:rsidRPr="00E409C9" w:rsidRDefault="00871BE4" w:rsidP="009B1C87">
            <w:pPr>
              <w:pStyle w:val="Numbertablecolumnheading-centered"/>
            </w:pPr>
            <w:r>
              <w:t>Boys</w:t>
            </w:r>
          </w:p>
        </w:tc>
        <w:tc>
          <w:tcPr>
            <w:tcW w:w="1082" w:type="pct"/>
            <w:gridSpan w:val="2"/>
            <w:tcBorders>
              <w:right w:val="single" w:sz="4" w:space="0" w:color="auto"/>
            </w:tcBorders>
            <w:vAlign w:val="center"/>
          </w:tcPr>
          <w:p w14:paraId="13543095" w14:textId="77F3DBF0" w:rsidR="00871BE4" w:rsidRPr="00B40B92" w:rsidRDefault="00871BE4" w:rsidP="009B1C87">
            <w:pPr>
              <w:pStyle w:val="Numbertablecolumnheading-centered"/>
            </w:pPr>
            <w:r>
              <w:t>Girls</w:t>
            </w:r>
          </w:p>
        </w:tc>
      </w:tr>
      <w:tr w:rsidR="008810D4" w14:paraId="0DBA7376" w14:textId="77777777" w:rsidTr="008F467D">
        <w:trPr>
          <w:trHeight w:val="277"/>
        </w:trPr>
        <w:tc>
          <w:tcPr>
            <w:tcW w:w="1723" w:type="pct"/>
            <w:vMerge/>
            <w:tcBorders>
              <w:left w:val="single" w:sz="4" w:space="0" w:color="auto"/>
              <w:bottom w:val="single" w:sz="4" w:space="0" w:color="auto"/>
            </w:tcBorders>
          </w:tcPr>
          <w:p w14:paraId="52007DFC" w14:textId="77777777" w:rsidR="00871BE4" w:rsidRDefault="00871BE4" w:rsidP="009B1C87"/>
        </w:tc>
        <w:tc>
          <w:tcPr>
            <w:tcW w:w="491" w:type="pct"/>
            <w:tcBorders>
              <w:bottom w:val="single" w:sz="4" w:space="0" w:color="auto"/>
            </w:tcBorders>
          </w:tcPr>
          <w:p w14:paraId="77EE03E9" w14:textId="77777777" w:rsidR="00871BE4" w:rsidRDefault="00871BE4" w:rsidP="009B1C87">
            <w:pPr>
              <w:pStyle w:val="Numbertablecolumnheading-centered"/>
            </w:pPr>
            <w:r>
              <w:t>Disability rate (%)</w:t>
            </w:r>
          </w:p>
        </w:tc>
        <w:tc>
          <w:tcPr>
            <w:tcW w:w="601" w:type="pct"/>
            <w:tcBorders>
              <w:bottom w:val="single" w:sz="4" w:space="0" w:color="auto"/>
            </w:tcBorders>
          </w:tcPr>
          <w:p w14:paraId="0118F9E9" w14:textId="203EDC5D" w:rsidR="00871BE4" w:rsidRDefault="00871BE4" w:rsidP="009B1C87">
            <w:pPr>
              <w:pStyle w:val="Numbertablecolumnheading-centered"/>
            </w:pPr>
            <w:r>
              <w:t>Number of disabled children</w:t>
            </w:r>
          </w:p>
        </w:tc>
        <w:tc>
          <w:tcPr>
            <w:tcW w:w="493" w:type="pct"/>
            <w:tcBorders>
              <w:bottom w:val="single" w:sz="4" w:space="0" w:color="auto"/>
              <w:right w:val="single" w:sz="4" w:space="0" w:color="auto"/>
            </w:tcBorders>
          </w:tcPr>
          <w:p w14:paraId="3638014A" w14:textId="77777777" w:rsidR="00871BE4" w:rsidRPr="00BB1E87" w:rsidRDefault="00871BE4" w:rsidP="009B1C87">
            <w:pPr>
              <w:pStyle w:val="Numbertablecolumnheading-centered"/>
            </w:pPr>
            <w:r>
              <w:t>Disability rate (%)</w:t>
            </w:r>
          </w:p>
        </w:tc>
        <w:tc>
          <w:tcPr>
            <w:tcW w:w="610" w:type="pct"/>
            <w:tcBorders>
              <w:bottom w:val="single" w:sz="4" w:space="0" w:color="auto"/>
              <w:right w:val="single" w:sz="4" w:space="0" w:color="auto"/>
            </w:tcBorders>
          </w:tcPr>
          <w:p w14:paraId="1D963CB7" w14:textId="5D4EAA79" w:rsidR="00871BE4" w:rsidRPr="00BB1E87" w:rsidRDefault="00871BE4" w:rsidP="009B1C87">
            <w:pPr>
              <w:pStyle w:val="Numbertablecolumnheading-centered"/>
            </w:pPr>
            <w:r>
              <w:t>Number of disabled children</w:t>
            </w:r>
          </w:p>
        </w:tc>
        <w:tc>
          <w:tcPr>
            <w:tcW w:w="491" w:type="pct"/>
            <w:tcBorders>
              <w:bottom w:val="single" w:sz="4" w:space="0" w:color="auto"/>
              <w:right w:val="single" w:sz="4" w:space="0" w:color="auto"/>
            </w:tcBorders>
          </w:tcPr>
          <w:p w14:paraId="27A40CB4" w14:textId="77777777" w:rsidR="00871BE4" w:rsidRPr="00BB1E87" w:rsidRDefault="00871BE4" w:rsidP="009B1C87">
            <w:pPr>
              <w:pStyle w:val="Numbertablecolumnheading-centered"/>
            </w:pPr>
            <w:r>
              <w:t>Disability rate (%)</w:t>
            </w:r>
          </w:p>
        </w:tc>
        <w:tc>
          <w:tcPr>
            <w:tcW w:w="591" w:type="pct"/>
            <w:tcBorders>
              <w:bottom w:val="single" w:sz="4" w:space="0" w:color="auto"/>
              <w:right w:val="single" w:sz="4" w:space="0" w:color="auto"/>
            </w:tcBorders>
          </w:tcPr>
          <w:p w14:paraId="5B880F29" w14:textId="3B95058A" w:rsidR="00871BE4" w:rsidRPr="00BB1E87" w:rsidRDefault="00871BE4" w:rsidP="009B1C87">
            <w:pPr>
              <w:pStyle w:val="Numbertablecolumnheading-centered"/>
            </w:pPr>
            <w:r>
              <w:t>Number of disabled children</w:t>
            </w:r>
          </w:p>
        </w:tc>
      </w:tr>
      <w:tr w:rsidR="00564B8D" w14:paraId="7F58CA30" w14:textId="77777777" w:rsidTr="008F467D">
        <w:trPr>
          <w:trHeight w:val="140"/>
        </w:trPr>
        <w:tc>
          <w:tcPr>
            <w:tcW w:w="1723" w:type="pct"/>
            <w:tcBorders>
              <w:top w:val="single" w:sz="4" w:space="0" w:color="auto"/>
              <w:left w:val="single" w:sz="4" w:space="0" w:color="auto"/>
              <w:bottom w:val="nil"/>
              <w:right w:val="nil"/>
            </w:tcBorders>
          </w:tcPr>
          <w:p w14:paraId="17D370D4" w14:textId="72802910" w:rsidR="00564B8D" w:rsidRPr="00130ED0" w:rsidRDefault="00564B8D" w:rsidP="00564B8D">
            <w:pPr>
              <w:pStyle w:val="Numbertablecolumnheading-leftaligned"/>
            </w:pPr>
            <w:r w:rsidRPr="00130ED0">
              <w:t>Accepting change to routine</w:t>
            </w:r>
            <w:r>
              <w:t xml:space="preserve"> –</w:t>
            </w:r>
            <w:r w:rsidRPr="00130ED0">
              <w:t xml:space="preserve"> 5 to 14</w:t>
            </w:r>
            <w:r w:rsidR="00F04F68">
              <w:t xml:space="preserve"> years</w:t>
            </w:r>
          </w:p>
        </w:tc>
        <w:tc>
          <w:tcPr>
            <w:tcW w:w="491" w:type="pct"/>
            <w:tcBorders>
              <w:top w:val="single" w:sz="4" w:space="0" w:color="auto"/>
              <w:left w:val="nil"/>
              <w:bottom w:val="nil"/>
              <w:right w:val="nil"/>
            </w:tcBorders>
          </w:tcPr>
          <w:p w14:paraId="259C3E99" w14:textId="5D352A7C" w:rsidR="00564B8D" w:rsidRPr="00130ED0" w:rsidRDefault="00564B8D" w:rsidP="00564B8D">
            <w:pPr>
              <w:pStyle w:val="Numbertablecolumnheading-centered"/>
            </w:pPr>
            <w:r w:rsidRPr="00130ED0">
              <w:t>5</w:t>
            </w:r>
          </w:p>
        </w:tc>
        <w:tc>
          <w:tcPr>
            <w:tcW w:w="601" w:type="pct"/>
            <w:tcBorders>
              <w:top w:val="single" w:sz="4" w:space="0" w:color="auto"/>
              <w:left w:val="nil"/>
              <w:bottom w:val="nil"/>
              <w:right w:val="nil"/>
            </w:tcBorders>
          </w:tcPr>
          <w:p w14:paraId="761A354B" w14:textId="5BABB06F" w:rsidR="00564B8D" w:rsidRPr="00130ED0" w:rsidRDefault="00564B8D" w:rsidP="00564B8D">
            <w:pPr>
              <w:pStyle w:val="Numbertablecolumnheading-centered"/>
            </w:pPr>
            <w:r w:rsidRPr="00130ED0">
              <w:t>35,000</w:t>
            </w:r>
          </w:p>
        </w:tc>
        <w:tc>
          <w:tcPr>
            <w:tcW w:w="493" w:type="pct"/>
            <w:tcBorders>
              <w:top w:val="single" w:sz="4" w:space="0" w:color="auto"/>
              <w:left w:val="nil"/>
              <w:bottom w:val="nil"/>
              <w:right w:val="nil"/>
            </w:tcBorders>
          </w:tcPr>
          <w:p w14:paraId="667B638C" w14:textId="649C86E9" w:rsidR="00564B8D" w:rsidRPr="00130ED0" w:rsidRDefault="00564B8D" w:rsidP="00564B8D">
            <w:pPr>
              <w:pStyle w:val="Numbertablecolumnheading-centered"/>
            </w:pPr>
            <w:r w:rsidRPr="00130ED0">
              <w:t>7</w:t>
            </w:r>
          </w:p>
        </w:tc>
        <w:tc>
          <w:tcPr>
            <w:tcW w:w="610" w:type="pct"/>
            <w:tcBorders>
              <w:top w:val="single" w:sz="4" w:space="0" w:color="auto"/>
              <w:left w:val="nil"/>
              <w:bottom w:val="nil"/>
              <w:right w:val="nil"/>
            </w:tcBorders>
          </w:tcPr>
          <w:p w14:paraId="26A6E1E1" w14:textId="63F08AC2" w:rsidR="00564B8D" w:rsidRPr="00130ED0" w:rsidRDefault="00564B8D" w:rsidP="00564B8D">
            <w:pPr>
              <w:pStyle w:val="Numbertablecolumnheading-centered"/>
            </w:pPr>
            <w:r w:rsidRPr="00130ED0">
              <w:t>24,000</w:t>
            </w:r>
          </w:p>
        </w:tc>
        <w:tc>
          <w:tcPr>
            <w:tcW w:w="491" w:type="pct"/>
            <w:tcBorders>
              <w:top w:val="single" w:sz="4" w:space="0" w:color="auto"/>
              <w:left w:val="nil"/>
              <w:bottom w:val="nil"/>
              <w:right w:val="nil"/>
            </w:tcBorders>
          </w:tcPr>
          <w:p w14:paraId="6B343D6B" w14:textId="1E0826D2" w:rsidR="00564B8D" w:rsidRPr="00130ED0" w:rsidRDefault="00564B8D" w:rsidP="00564B8D">
            <w:pPr>
              <w:pStyle w:val="Numbertablecolumnheading-centered"/>
            </w:pPr>
            <w:r w:rsidRPr="00130ED0">
              <w:t>3</w:t>
            </w:r>
          </w:p>
        </w:tc>
        <w:tc>
          <w:tcPr>
            <w:tcW w:w="591" w:type="pct"/>
            <w:tcBorders>
              <w:top w:val="single" w:sz="4" w:space="0" w:color="auto"/>
              <w:left w:val="nil"/>
              <w:bottom w:val="nil"/>
              <w:right w:val="single" w:sz="4" w:space="0" w:color="auto"/>
            </w:tcBorders>
          </w:tcPr>
          <w:p w14:paraId="4E25130D" w14:textId="39C600CF" w:rsidR="00564B8D" w:rsidRPr="00130ED0" w:rsidRDefault="00564B8D" w:rsidP="00564B8D">
            <w:pPr>
              <w:pStyle w:val="Numbertablecolumnheading-centered"/>
            </w:pPr>
            <w:r w:rsidRPr="00130ED0">
              <w:t>11,000</w:t>
            </w:r>
          </w:p>
        </w:tc>
      </w:tr>
      <w:tr w:rsidR="00A55764" w14:paraId="76FF28CC" w14:textId="77777777" w:rsidTr="008F467D">
        <w:trPr>
          <w:trHeight w:val="140"/>
        </w:trPr>
        <w:tc>
          <w:tcPr>
            <w:tcW w:w="1723" w:type="pct"/>
            <w:tcBorders>
              <w:top w:val="nil"/>
              <w:left w:val="single" w:sz="4" w:space="0" w:color="auto"/>
              <w:bottom w:val="nil"/>
              <w:right w:val="nil"/>
            </w:tcBorders>
          </w:tcPr>
          <w:p w14:paraId="0C5185EE" w14:textId="7FDD361D" w:rsidR="00A55764" w:rsidRPr="00130ED0" w:rsidRDefault="00A55764" w:rsidP="00A55764">
            <w:pPr>
              <w:pStyle w:val="Numbertablecolumnheading-leftaligned"/>
            </w:pPr>
            <w:r w:rsidRPr="00130ED0">
              <w:t>Making friends</w:t>
            </w:r>
            <w:r>
              <w:t xml:space="preserve"> – </w:t>
            </w:r>
            <w:r w:rsidRPr="00130ED0">
              <w:t>5 to 14</w:t>
            </w:r>
            <w:r w:rsidR="00F04F68">
              <w:t xml:space="preserve"> years</w:t>
            </w:r>
          </w:p>
        </w:tc>
        <w:tc>
          <w:tcPr>
            <w:tcW w:w="491" w:type="pct"/>
            <w:tcBorders>
              <w:top w:val="nil"/>
              <w:left w:val="nil"/>
              <w:bottom w:val="nil"/>
              <w:right w:val="nil"/>
            </w:tcBorders>
          </w:tcPr>
          <w:p w14:paraId="2E8BC3EB" w14:textId="54D5D241" w:rsidR="00A55764" w:rsidRPr="00130ED0" w:rsidRDefault="00A55764" w:rsidP="00A55764">
            <w:pPr>
              <w:pStyle w:val="Numbertablecolumnheading-centered"/>
            </w:pPr>
            <w:r w:rsidRPr="00130ED0">
              <w:t>4</w:t>
            </w:r>
          </w:p>
        </w:tc>
        <w:tc>
          <w:tcPr>
            <w:tcW w:w="601" w:type="pct"/>
            <w:tcBorders>
              <w:top w:val="nil"/>
              <w:left w:val="nil"/>
              <w:bottom w:val="nil"/>
              <w:right w:val="nil"/>
            </w:tcBorders>
          </w:tcPr>
          <w:p w14:paraId="42E7DAA6" w14:textId="29EFEF2A" w:rsidR="00A55764" w:rsidRPr="00130ED0" w:rsidRDefault="00A55764" w:rsidP="00A55764">
            <w:pPr>
              <w:pStyle w:val="Numbertablecolumnheading-centered"/>
            </w:pPr>
            <w:r w:rsidRPr="00130ED0">
              <w:t>25,000</w:t>
            </w:r>
          </w:p>
        </w:tc>
        <w:tc>
          <w:tcPr>
            <w:tcW w:w="493" w:type="pct"/>
            <w:tcBorders>
              <w:top w:val="nil"/>
              <w:left w:val="nil"/>
              <w:bottom w:val="nil"/>
              <w:right w:val="nil"/>
            </w:tcBorders>
          </w:tcPr>
          <w:p w14:paraId="53BBE8B2" w14:textId="74B6F925" w:rsidR="00A55764" w:rsidRPr="00130ED0" w:rsidRDefault="00A55764" w:rsidP="00A55764">
            <w:pPr>
              <w:pStyle w:val="Numbertablecolumnheading-centered"/>
            </w:pPr>
            <w:r w:rsidRPr="00130ED0">
              <w:t>5</w:t>
            </w:r>
          </w:p>
        </w:tc>
        <w:tc>
          <w:tcPr>
            <w:tcW w:w="610" w:type="pct"/>
            <w:tcBorders>
              <w:top w:val="nil"/>
              <w:left w:val="nil"/>
              <w:bottom w:val="nil"/>
              <w:right w:val="nil"/>
            </w:tcBorders>
          </w:tcPr>
          <w:p w14:paraId="6ADADF0F" w14:textId="2A80E6F2" w:rsidR="00A55764" w:rsidRPr="00130ED0" w:rsidRDefault="00A55764" w:rsidP="00A55764">
            <w:pPr>
              <w:pStyle w:val="Numbertablecolumnheading-centered"/>
            </w:pPr>
            <w:r w:rsidRPr="00130ED0">
              <w:t>17,000</w:t>
            </w:r>
          </w:p>
        </w:tc>
        <w:tc>
          <w:tcPr>
            <w:tcW w:w="491" w:type="pct"/>
            <w:tcBorders>
              <w:top w:val="nil"/>
              <w:left w:val="nil"/>
              <w:bottom w:val="nil"/>
              <w:right w:val="nil"/>
            </w:tcBorders>
          </w:tcPr>
          <w:p w14:paraId="69AC3FF4" w14:textId="2E2897F9" w:rsidR="00A55764" w:rsidRPr="00130ED0" w:rsidRDefault="00A55764" w:rsidP="00A55764">
            <w:pPr>
              <w:pStyle w:val="Numbertablecolumnheading-centered"/>
            </w:pPr>
            <w:r w:rsidRPr="00130ED0">
              <w:t>3</w:t>
            </w:r>
          </w:p>
        </w:tc>
        <w:tc>
          <w:tcPr>
            <w:tcW w:w="591" w:type="pct"/>
            <w:tcBorders>
              <w:top w:val="nil"/>
              <w:left w:val="nil"/>
              <w:bottom w:val="nil"/>
              <w:right w:val="single" w:sz="4" w:space="0" w:color="auto"/>
            </w:tcBorders>
          </w:tcPr>
          <w:p w14:paraId="101E5713" w14:textId="665AFEED" w:rsidR="00A55764" w:rsidRPr="00130ED0" w:rsidRDefault="00A55764" w:rsidP="00A55764">
            <w:pPr>
              <w:pStyle w:val="Numbertablecolumnheading-centered"/>
            </w:pPr>
            <w:r w:rsidRPr="00130ED0">
              <w:t>8,000</w:t>
            </w:r>
          </w:p>
        </w:tc>
      </w:tr>
      <w:tr w:rsidR="00157880" w14:paraId="4968CCA9" w14:textId="77777777" w:rsidTr="008F467D">
        <w:trPr>
          <w:trHeight w:val="140"/>
        </w:trPr>
        <w:tc>
          <w:tcPr>
            <w:tcW w:w="1723" w:type="pct"/>
            <w:tcBorders>
              <w:top w:val="nil"/>
              <w:left w:val="single" w:sz="4" w:space="0" w:color="auto"/>
              <w:bottom w:val="nil"/>
              <w:right w:val="nil"/>
            </w:tcBorders>
          </w:tcPr>
          <w:p w14:paraId="6679C5A5" w14:textId="1FB0D609" w:rsidR="00157880" w:rsidRPr="00130ED0" w:rsidRDefault="00157880" w:rsidP="00157880">
            <w:pPr>
              <w:pStyle w:val="Numbertablecolumnheading-leftaligned"/>
            </w:pPr>
            <w:r w:rsidRPr="00130ED0">
              <w:t>Other</w:t>
            </w:r>
            <w:r>
              <w:t xml:space="preserve"> –</w:t>
            </w:r>
            <w:r w:rsidRPr="00130ED0">
              <w:t xml:space="preserve"> 0 to 14 </w:t>
            </w:r>
            <w:r w:rsidR="00F04F68">
              <w:t>years</w:t>
            </w:r>
          </w:p>
        </w:tc>
        <w:tc>
          <w:tcPr>
            <w:tcW w:w="491" w:type="pct"/>
            <w:tcBorders>
              <w:top w:val="nil"/>
              <w:left w:val="nil"/>
              <w:bottom w:val="nil"/>
              <w:right w:val="nil"/>
            </w:tcBorders>
          </w:tcPr>
          <w:p w14:paraId="68A0278D" w14:textId="4F1F091F" w:rsidR="00157880" w:rsidRPr="00130ED0" w:rsidRDefault="00157880" w:rsidP="00157880">
            <w:pPr>
              <w:pStyle w:val="Numbertablecolumnheading-centered"/>
            </w:pPr>
            <w:r w:rsidRPr="00130ED0">
              <w:t>3</w:t>
            </w:r>
          </w:p>
        </w:tc>
        <w:tc>
          <w:tcPr>
            <w:tcW w:w="601" w:type="pct"/>
            <w:tcBorders>
              <w:top w:val="nil"/>
              <w:left w:val="nil"/>
              <w:bottom w:val="nil"/>
              <w:right w:val="nil"/>
            </w:tcBorders>
          </w:tcPr>
          <w:p w14:paraId="631A398B" w14:textId="74ADC200" w:rsidR="00157880" w:rsidRPr="00130ED0" w:rsidRDefault="00157880" w:rsidP="00157880">
            <w:pPr>
              <w:pStyle w:val="Numbertablecolumnheading-centered"/>
            </w:pPr>
            <w:r w:rsidRPr="00130ED0">
              <w:t>32,000</w:t>
            </w:r>
          </w:p>
        </w:tc>
        <w:tc>
          <w:tcPr>
            <w:tcW w:w="493" w:type="pct"/>
            <w:tcBorders>
              <w:top w:val="nil"/>
              <w:left w:val="nil"/>
              <w:bottom w:val="nil"/>
              <w:right w:val="nil"/>
            </w:tcBorders>
          </w:tcPr>
          <w:p w14:paraId="001E63DD" w14:textId="48F86EBD" w:rsidR="00157880" w:rsidRPr="00130ED0" w:rsidRDefault="00157880" w:rsidP="00157880">
            <w:pPr>
              <w:pStyle w:val="Numbertablecolumnheading-centered"/>
            </w:pPr>
            <w:r w:rsidRPr="00130ED0">
              <w:t>4</w:t>
            </w:r>
          </w:p>
        </w:tc>
        <w:tc>
          <w:tcPr>
            <w:tcW w:w="610" w:type="pct"/>
            <w:tcBorders>
              <w:top w:val="nil"/>
              <w:left w:val="nil"/>
              <w:bottom w:val="nil"/>
              <w:right w:val="nil"/>
            </w:tcBorders>
          </w:tcPr>
          <w:p w14:paraId="28E9CB03" w14:textId="7DBD227F" w:rsidR="00157880" w:rsidRPr="00130ED0" w:rsidRDefault="00157880" w:rsidP="00157880">
            <w:pPr>
              <w:pStyle w:val="Numbertablecolumnheading-centered"/>
            </w:pPr>
            <w:r w:rsidRPr="00130ED0">
              <w:t>21,000</w:t>
            </w:r>
          </w:p>
        </w:tc>
        <w:tc>
          <w:tcPr>
            <w:tcW w:w="491" w:type="pct"/>
            <w:tcBorders>
              <w:top w:val="nil"/>
              <w:left w:val="nil"/>
              <w:bottom w:val="nil"/>
              <w:right w:val="nil"/>
            </w:tcBorders>
          </w:tcPr>
          <w:p w14:paraId="2C1DEEA3" w14:textId="5BE15A2C" w:rsidR="00157880" w:rsidRPr="00130ED0" w:rsidRDefault="00157880" w:rsidP="00157880">
            <w:pPr>
              <w:pStyle w:val="Numbertablecolumnheading-centered"/>
            </w:pPr>
            <w:r w:rsidRPr="00130ED0">
              <w:t>2</w:t>
            </w:r>
          </w:p>
        </w:tc>
        <w:tc>
          <w:tcPr>
            <w:tcW w:w="591" w:type="pct"/>
            <w:tcBorders>
              <w:top w:val="nil"/>
              <w:left w:val="nil"/>
              <w:bottom w:val="nil"/>
              <w:right w:val="single" w:sz="4" w:space="0" w:color="auto"/>
            </w:tcBorders>
          </w:tcPr>
          <w:p w14:paraId="13589C17" w14:textId="6F4D2385" w:rsidR="00157880" w:rsidRPr="00130ED0" w:rsidRDefault="00157880" w:rsidP="00157880">
            <w:pPr>
              <w:pStyle w:val="Numbertablecolumnheading-centered"/>
            </w:pPr>
            <w:r w:rsidRPr="00130ED0">
              <w:t>11,000</w:t>
            </w:r>
          </w:p>
        </w:tc>
      </w:tr>
      <w:tr w:rsidR="00157880" w14:paraId="63C3DA88" w14:textId="77777777" w:rsidTr="008F467D">
        <w:trPr>
          <w:trHeight w:val="140"/>
        </w:trPr>
        <w:tc>
          <w:tcPr>
            <w:tcW w:w="1723" w:type="pct"/>
            <w:tcBorders>
              <w:top w:val="nil"/>
              <w:left w:val="single" w:sz="4" w:space="0" w:color="auto"/>
              <w:bottom w:val="nil"/>
              <w:right w:val="nil"/>
            </w:tcBorders>
          </w:tcPr>
          <w:p w14:paraId="0F610113" w14:textId="5E7FAF9F" w:rsidR="00157880" w:rsidRPr="00130ED0" w:rsidRDefault="00157880" w:rsidP="00157880">
            <w:pPr>
              <w:pStyle w:val="Numbertablecolumnheading-leftaligned"/>
            </w:pPr>
            <w:r w:rsidRPr="00130ED0">
              <w:t>Controlling own behaviour</w:t>
            </w:r>
            <w:r>
              <w:t xml:space="preserve"> –</w:t>
            </w:r>
            <w:r w:rsidRPr="00130ED0">
              <w:t xml:space="preserve"> 2 to 14</w:t>
            </w:r>
            <w:r w:rsidR="00F04F68">
              <w:t xml:space="preserve"> years</w:t>
            </w:r>
          </w:p>
        </w:tc>
        <w:tc>
          <w:tcPr>
            <w:tcW w:w="491" w:type="pct"/>
            <w:tcBorders>
              <w:top w:val="nil"/>
              <w:left w:val="nil"/>
              <w:bottom w:val="nil"/>
              <w:right w:val="nil"/>
            </w:tcBorders>
          </w:tcPr>
          <w:p w14:paraId="1772E569" w14:textId="1D1D5BD1" w:rsidR="00157880" w:rsidRPr="00130ED0" w:rsidRDefault="00157880" w:rsidP="00157880">
            <w:pPr>
              <w:pStyle w:val="Numbertablecolumnheading-centered"/>
            </w:pPr>
            <w:r w:rsidRPr="00130ED0">
              <w:t>3</w:t>
            </w:r>
          </w:p>
        </w:tc>
        <w:tc>
          <w:tcPr>
            <w:tcW w:w="601" w:type="pct"/>
            <w:tcBorders>
              <w:top w:val="nil"/>
              <w:left w:val="nil"/>
              <w:bottom w:val="nil"/>
              <w:right w:val="nil"/>
            </w:tcBorders>
          </w:tcPr>
          <w:p w14:paraId="2DD7A6C4" w14:textId="0A5829FC" w:rsidR="00157880" w:rsidRPr="00130ED0" w:rsidRDefault="00157880" w:rsidP="00157880">
            <w:pPr>
              <w:pStyle w:val="Numbertablecolumnheading-centered"/>
            </w:pPr>
            <w:r w:rsidRPr="00130ED0">
              <w:t>30,000</w:t>
            </w:r>
          </w:p>
        </w:tc>
        <w:tc>
          <w:tcPr>
            <w:tcW w:w="493" w:type="pct"/>
            <w:tcBorders>
              <w:top w:val="nil"/>
              <w:left w:val="nil"/>
              <w:bottom w:val="nil"/>
              <w:right w:val="nil"/>
            </w:tcBorders>
          </w:tcPr>
          <w:p w14:paraId="45257AD4" w14:textId="734F5FD7" w:rsidR="00157880" w:rsidRPr="00130ED0" w:rsidRDefault="00157880" w:rsidP="00157880">
            <w:pPr>
              <w:pStyle w:val="Numbertablecolumnheading-centered"/>
            </w:pPr>
            <w:r w:rsidRPr="00130ED0">
              <w:t>5</w:t>
            </w:r>
          </w:p>
        </w:tc>
        <w:tc>
          <w:tcPr>
            <w:tcW w:w="610" w:type="pct"/>
            <w:tcBorders>
              <w:top w:val="nil"/>
              <w:left w:val="nil"/>
              <w:bottom w:val="nil"/>
              <w:right w:val="nil"/>
            </w:tcBorders>
          </w:tcPr>
          <w:p w14:paraId="49E5F7BF" w14:textId="471CBD41" w:rsidR="00157880" w:rsidRPr="00130ED0" w:rsidRDefault="00157880" w:rsidP="00157880">
            <w:pPr>
              <w:pStyle w:val="Numbertablecolumnheading-centered"/>
            </w:pPr>
            <w:r w:rsidRPr="00130ED0">
              <w:t>22,000</w:t>
            </w:r>
          </w:p>
        </w:tc>
        <w:tc>
          <w:tcPr>
            <w:tcW w:w="491" w:type="pct"/>
            <w:tcBorders>
              <w:top w:val="nil"/>
              <w:left w:val="nil"/>
              <w:bottom w:val="nil"/>
              <w:right w:val="nil"/>
            </w:tcBorders>
          </w:tcPr>
          <w:p w14:paraId="165E4756" w14:textId="34955416" w:rsidR="00157880" w:rsidRPr="00130ED0" w:rsidRDefault="00157880" w:rsidP="00157880">
            <w:pPr>
              <w:pStyle w:val="Numbertablecolumnheading-centered"/>
            </w:pPr>
            <w:r w:rsidRPr="00130ED0">
              <w:t>2</w:t>
            </w:r>
          </w:p>
        </w:tc>
        <w:tc>
          <w:tcPr>
            <w:tcW w:w="591" w:type="pct"/>
            <w:tcBorders>
              <w:top w:val="nil"/>
              <w:left w:val="nil"/>
              <w:bottom w:val="nil"/>
              <w:right w:val="single" w:sz="4" w:space="0" w:color="auto"/>
            </w:tcBorders>
          </w:tcPr>
          <w:p w14:paraId="39E365C4" w14:textId="5FC791ED" w:rsidR="00157880" w:rsidRPr="00130ED0" w:rsidRDefault="00157880" w:rsidP="00157880">
            <w:pPr>
              <w:pStyle w:val="Numbertablecolumnheading-centered"/>
            </w:pPr>
            <w:r w:rsidRPr="00130ED0">
              <w:t>8,000</w:t>
            </w:r>
          </w:p>
        </w:tc>
      </w:tr>
      <w:tr w:rsidR="00157880" w14:paraId="10DCCA60" w14:textId="77777777" w:rsidTr="008F467D">
        <w:trPr>
          <w:trHeight w:val="140"/>
        </w:trPr>
        <w:tc>
          <w:tcPr>
            <w:tcW w:w="1723" w:type="pct"/>
            <w:tcBorders>
              <w:top w:val="nil"/>
              <w:left w:val="single" w:sz="4" w:space="0" w:color="auto"/>
              <w:bottom w:val="nil"/>
              <w:right w:val="nil"/>
            </w:tcBorders>
          </w:tcPr>
          <w:p w14:paraId="6BA37470" w14:textId="619F2699" w:rsidR="00157880" w:rsidRPr="00130ED0" w:rsidRDefault="00157880" w:rsidP="00157880">
            <w:pPr>
              <w:pStyle w:val="Numbertablecolumnheading-leftaligned"/>
            </w:pPr>
            <w:r w:rsidRPr="00130ED0">
              <w:t>Cognition</w:t>
            </w:r>
            <w:r>
              <w:t xml:space="preserve"> –</w:t>
            </w:r>
            <w:r w:rsidRPr="00130ED0">
              <w:t xml:space="preserve"> 2 to 14</w:t>
            </w:r>
            <w:r w:rsidR="00F04F68">
              <w:t xml:space="preserve"> years</w:t>
            </w:r>
          </w:p>
        </w:tc>
        <w:tc>
          <w:tcPr>
            <w:tcW w:w="491" w:type="pct"/>
            <w:tcBorders>
              <w:top w:val="nil"/>
              <w:left w:val="nil"/>
              <w:bottom w:val="nil"/>
              <w:right w:val="nil"/>
            </w:tcBorders>
          </w:tcPr>
          <w:p w14:paraId="78B6CF24" w14:textId="0496EEEC" w:rsidR="00157880" w:rsidRPr="00130ED0" w:rsidRDefault="00157880" w:rsidP="00157880">
            <w:pPr>
              <w:pStyle w:val="Numbertablecolumnheading-centered"/>
            </w:pPr>
            <w:r w:rsidRPr="00130ED0">
              <w:t>3</w:t>
            </w:r>
          </w:p>
        </w:tc>
        <w:tc>
          <w:tcPr>
            <w:tcW w:w="601" w:type="pct"/>
            <w:tcBorders>
              <w:top w:val="nil"/>
              <w:left w:val="nil"/>
              <w:bottom w:val="nil"/>
              <w:right w:val="nil"/>
            </w:tcBorders>
          </w:tcPr>
          <w:p w14:paraId="18358BFF" w14:textId="2D587F58" w:rsidR="00157880" w:rsidRPr="00130ED0" w:rsidRDefault="00157880" w:rsidP="00157880">
            <w:pPr>
              <w:pStyle w:val="Numbertablecolumnheading-centered"/>
            </w:pPr>
            <w:r w:rsidRPr="00130ED0">
              <w:t>29,000</w:t>
            </w:r>
          </w:p>
        </w:tc>
        <w:tc>
          <w:tcPr>
            <w:tcW w:w="493" w:type="pct"/>
            <w:tcBorders>
              <w:top w:val="nil"/>
              <w:left w:val="nil"/>
              <w:bottom w:val="nil"/>
              <w:right w:val="nil"/>
            </w:tcBorders>
          </w:tcPr>
          <w:p w14:paraId="5948691C" w14:textId="371A21DE" w:rsidR="00157880" w:rsidRPr="00130ED0" w:rsidRDefault="00157880" w:rsidP="00157880">
            <w:pPr>
              <w:pStyle w:val="Numbertablecolumnheading-centered"/>
            </w:pPr>
            <w:r w:rsidRPr="00130ED0">
              <w:t>5</w:t>
            </w:r>
          </w:p>
        </w:tc>
        <w:tc>
          <w:tcPr>
            <w:tcW w:w="610" w:type="pct"/>
            <w:tcBorders>
              <w:top w:val="nil"/>
              <w:left w:val="nil"/>
              <w:bottom w:val="nil"/>
              <w:right w:val="nil"/>
            </w:tcBorders>
          </w:tcPr>
          <w:p w14:paraId="49F54F35" w14:textId="009225C2" w:rsidR="00157880" w:rsidRPr="00130ED0" w:rsidRDefault="00157880" w:rsidP="00157880">
            <w:pPr>
              <w:pStyle w:val="Numbertablecolumnheading-centered"/>
            </w:pPr>
            <w:r w:rsidRPr="00130ED0">
              <w:t>21,000</w:t>
            </w:r>
          </w:p>
        </w:tc>
        <w:tc>
          <w:tcPr>
            <w:tcW w:w="491" w:type="pct"/>
            <w:tcBorders>
              <w:top w:val="nil"/>
              <w:left w:val="nil"/>
              <w:bottom w:val="nil"/>
              <w:right w:val="nil"/>
            </w:tcBorders>
          </w:tcPr>
          <w:p w14:paraId="62EC7DA4" w14:textId="01BF2A5E" w:rsidR="00157880" w:rsidRPr="00130ED0" w:rsidRDefault="00157880" w:rsidP="00157880">
            <w:pPr>
              <w:pStyle w:val="Numbertablecolumnheading-centered"/>
            </w:pPr>
            <w:r w:rsidRPr="00130ED0">
              <w:t>2</w:t>
            </w:r>
          </w:p>
        </w:tc>
        <w:tc>
          <w:tcPr>
            <w:tcW w:w="591" w:type="pct"/>
            <w:tcBorders>
              <w:top w:val="nil"/>
              <w:left w:val="nil"/>
              <w:bottom w:val="nil"/>
              <w:right w:val="single" w:sz="4" w:space="0" w:color="auto"/>
            </w:tcBorders>
          </w:tcPr>
          <w:p w14:paraId="259CF12B" w14:textId="1DC9160B" w:rsidR="00157880" w:rsidRPr="00130ED0" w:rsidRDefault="00157880" w:rsidP="00157880">
            <w:pPr>
              <w:pStyle w:val="Numbertablecolumnheading-centered"/>
            </w:pPr>
            <w:r w:rsidRPr="00130ED0">
              <w:t>8,000</w:t>
            </w:r>
          </w:p>
        </w:tc>
      </w:tr>
      <w:tr w:rsidR="00157880" w14:paraId="03214379" w14:textId="77777777" w:rsidTr="008F467D">
        <w:trPr>
          <w:trHeight w:val="140"/>
        </w:trPr>
        <w:tc>
          <w:tcPr>
            <w:tcW w:w="1723" w:type="pct"/>
            <w:tcBorders>
              <w:top w:val="nil"/>
              <w:left w:val="single" w:sz="4" w:space="0" w:color="auto"/>
              <w:bottom w:val="nil"/>
              <w:right w:val="nil"/>
            </w:tcBorders>
          </w:tcPr>
          <w:p w14:paraId="014C90DB" w14:textId="5A4D04FA" w:rsidR="00157880" w:rsidRPr="00130ED0" w:rsidRDefault="00157880" w:rsidP="00157880">
            <w:pPr>
              <w:pStyle w:val="Numbertablecolumnheading-leftaligned"/>
            </w:pPr>
            <w:r w:rsidRPr="00130ED0">
              <w:t>Mental health</w:t>
            </w:r>
            <w:r>
              <w:t xml:space="preserve"> –</w:t>
            </w:r>
            <w:r w:rsidRPr="00130ED0">
              <w:t xml:space="preserve"> 5 to 14</w:t>
            </w:r>
            <w:r w:rsidR="00F04F68">
              <w:t xml:space="preserve"> years</w:t>
            </w:r>
          </w:p>
        </w:tc>
        <w:tc>
          <w:tcPr>
            <w:tcW w:w="491" w:type="pct"/>
            <w:tcBorders>
              <w:top w:val="nil"/>
              <w:left w:val="nil"/>
              <w:bottom w:val="nil"/>
              <w:right w:val="nil"/>
            </w:tcBorders>
          </w:tcPr>
          <w:p w14:paraId="715DDC13" w14:textId="2EB1ED5E" w:rsidR="00157880" w:rsidRPr="00130ED0" w:rsidRDefault="00157880" w:rsidP="00157880">
            <w:pPr>
              <w:pStyle w:val="Numbertablecolumnheading-centered"/>
            </w:pPr>
            <w:r w:rsidRPr="00130ED0">
              <w:t>5</w:t>
            </w:r>
          </w:p>
        </w:tc>
        <w:tc>
          <w:tcPr>
            <w:tcW w:w="601" w:type="pct"/>
            <w:tcBorders>
              <w:top w:val="nil"/>
              <w:left w:val="nil"/>
              <w:bottom w:val="nil"/>
              <w:right w:val="nil"/>
            </w:tcBorders>
          </w:tcPr>
          <w:p w14:paraId="38D0BFC9" w14:textId="7AEBF979" w:rsidR="00157880" w:rsidRPr="00130ED0" w:rsidRDefault="00157880" w:rsidP="00157880">
            <w:pPr>
              <w:pStyle w:val="Numbertablecolumnheading-centered"/>
            </w:pPr>
            <w:r w:rsidRPr="00130ED0">
              <w:t>35,000</w:t>
            </w:r>
          </w:p>
        </w:tc>
        <w:tc>
          <w:tcPr>
            <w:tcW w:w="493" w:type="pct"/>
            <w:tcBorders>
              <w:top w:val="nil"/>
              <w:left w:val="nil"/>
              <w:bottom w:val="nil"/>
              <w:right w:val="nil"/>
            </w:tcBorders>
          </w:tcPr>
          <w:p w14:paraId="3B5A6334" w14:textId="49CE9E5A" w:rsidR="00157880" w:rsidRPr="00130ED0" w:rsidRDefault="00157880" w:rsidP="00157880">
            <w:pPr>
              <w:pStyle w:val="Numbertablecolumnheading-centered"/>
            </w:pPr>
            <w:r w:rsidRPr="00130ED0">
              <w:t>5</w:t>
            </w:r>
          </w:p>
        </w:tc>
        <w:tc>
          <w:tcPr>
            <w:tcW w:w="610" w:type="pct"/>
            <w:tcBorders>
              <w:top w:val="nil"/>
              <w:left w:val="nil"/>
              <w:bottom w:val="nil"/>
              <w:right w:val="nil"/>
            </w:tcBorders>
          </w:tcPr>
          <w:p w14:paraId="159C8BEC" w14:textId="169DC53B" w:rsidR="00157880" w:rsidRPr="00130ED0" w:rsidRDefault="00157880" w:rsidP="00157880">
            <w:pPr>
              <w:pStyle w:val="Numbertablecolumnheading-centered"/>
            </w:pPr>
            <w:r w:rsidRPr="00130ED0">
              <w:t>18,000</w:t>
            </w:r>
          </w:p>
        </w:tc>
        <w:tc>
          <w:tcPr>
            <w:tcW w:w="491" w:type="pct"/>
            <w:tcBorders>
              <w:top w:val="nil"/>
              <w:left w:val="nil"/>
              <w:bottom w:val="nil"/>
              <w:right w:val="nil"/>
            </w:tcBorders>
          </w:tcPr>
          <w:p w14:paraId="31B0A1E5" w14:textId="3DA41671" w:rsidR="00157880" w:rsidRPr="00130ED0" w:rsidRDefault="00157880" w:rsidP="00157880">
            <w:pPr>
              <w:pStyle w:val="Numbertablecolumnheading-centered"/>
            </w:pPr>
            <w:r w:rsidRPr="00130ED0">
              <w:t>5</w:t>
            </w:r>
          </w:p>
        </w:tc>
        <w:tc>
          <w:tcPr>
            <w:tcW w:w="591" w:type="pct"/>
            <w:tcBorders>
              <w:top w:val="nil"/>
              <w:left w:val="nil"/>
              <w:bottom w:val="nil"/>
              <w:right w:val="single" w:sz="4" w:space="0" w:color="auto"/>
            </w:tcBorders>
          </w:tcPr>
          <w:p w14:paraId="603F9AC4" w14:textId="5AFDB4C1" w:rsidR="00157880" w:rsidRPr="00130ED0" w:rsidRDefault="00157880" w:rsidP="00157880">
            <w:pPr>
              <w:pStyle w:val="Numbertablecolumnheading-centered"/>
            </w:pPr>
            <w:r w:rsidRPr="00130ED0">
              <w:t>16,000</w:t>
            </w:r>
          </w:p>
        </w:tc>
      </w:tr>
      <w:tr w:rsidR="00157880" w14:paraId="6F0F45FB" w14:textId="77777777" w:rsidTr="008F467D">
        <w:trPr>
          <w:trHeight w:val="140"/>
        </w:trPr>
        <w:tc>
          <w:tcPr>
            <w:tcW w:w="1723" w:type="pct"/>
            <w:tcBorders>
              <w:top w:val="nil"/>
              <w:left w:val="single" w:sz="4" w:space="0" w:color="auto"/>
              <w:bottom w:val="nil"/>
              <w:right w:val="nil"/>
            </w:tcBorders>
          </w:tcPr>
          <w:p w14:paraId="2E262C82" w14:textId="556C2F2F" w:rsidR="00157880" w:rsidRPr="00130ED0" w:rsidRDefault="00157880" w:rsidP="00157880">
            <w:pPr>
              <w:pStyle w:val="Numbertablecolumnheading-leftaligned"/>
            </w:pPr>
            <w:r w:rsidRPr="00130ED0">
              <w:t>Physical</w:t>
            </w:r>
            <w:r>
              <w:t xml:space="preserve"> –</w:t>
            </w:r>
            <w:r w:rsidRPr="00130ED0">
              <w:t xml:space="preserve"> 0 to 14</w:t>
            </w:r>
            <w:r w:rsidR="00F04F68">
              <w:t xml:space="preserve"> years</w:t>
            </w:r>
          </w:p>
        </w:tc>
        <w:tc>
          <w:tcPr>
            <w:tcW w:w="491" w:type="pct"/>
            <w:tcBorders>
              <w:top w:val="nil"/>
              <w:left w:val="nil"/>
              <w:bottom w:val="nil"/>
              <w:right w:val="nil"/>
            </w:tcBorders>
          </w:tcPr>
          <w:p w14:paraId="09864FDF" w14:textId="638C75D4" w:rsidR="00157880" w:rsidRPr="00130ED0" w:rsidRDefault="00157880" w:rsidP="00157880">
            <w:pPr>
              <w:pStyle w:val="Numbertablecolumnheading-centered"/>
            </w:pPr>
            <w:r w:rsidRPr="00130ED0">
              <w:t>1</w:t>
            </w:r>
          </w:p>
        </w:tc>
        <w:tc>
          <w:tcPr>
            <w:tcW w:w="601" w:type="pct"/>
            <w:tcBorders>
              <w:top w:val="nil"/>
              <w:left w:val="nil"/>
              <w:bottom w:val="nil"/>
              <w:right w:val="nil"/>
            </w:tcBorders>
          </w:tcPr>
          <w:p w14:paraId="00B2E3ED" w14:textId="1E914087" w:rsidR="00157880" w:rsidRPr="00130ED0" w:rsidRDefault="00157880" w:rsidP="00157880">
            <w:pPr>
              <w:pStyle w:val="Numbertablecolumnheading-centered"/>
            </w:pPr>
            <w:r w:rsidRPr="00130ED0">
              <w:t>7,000</w:t>
            </w:r>
          </w:p>
        </w:tc>
        <w:tc>
          <w:tcPr>
            <w:tcW w:w="493" w:type="pct"/>
            <w:tcBorders>
              <w:top w:val="nil"/>
              <w:left w:val="nil"/>
              <w:bottom w:val="nil"/>
              <w:right w:val="nil"/>
            </w:tcBorders>
          </w:tcPr>
          <w:p w14:paraId="69DE9A44" w14:textId="45652DD8" w:rsidR="00157880" w:rsidRPr="00130ED0" w:rsidRDefault="00157880" w:rsidP="00157880">
            <w:pPr>
              <w:pStyle w:val="Numbertablecolumnheading-centered"/>
            </w:pPr>
            <w:r w:rsidRPr="00130ED0">
              <w:t>1</w:t>
            </w:r>
          </w:p>
        </w:tc>
        <w:tc>
          <w:tcPr>
            <w:tcW w:w="610" w:type="pct"/>
            <w:tcBorders>
              <w:top w:val="nil"/>
              <w:left w:val="nil"/>
              <w:bottom w:val="nil"/>
              <w:right w:val="nil"/>
            </w:tcBorders>
          </w:tcPr>
          <w:p w14:paraId="1BD11220" w14:textId="559C9727" w:rsidR="00157880" w:rsidRPr="00130ED0" w:rsidRDefault="00157880" w:rsidP="00157880">
            <w:pPr>
              <w:pStyle w:val="Numbertablecolumnheading-centered"/>
            </w:pPr>
            <w:r w:rsidRPr="00130ED0">
              <w:t>4,000</w:t>
            </w:r>
          </w:p>
        </w:tc>
        <w:tc>
          <w:tcPr>
            <w:tcW w:w="491" w:type="pct"/>
            <w:tcBorders>
              <w:top w:val="nil"/>
              <w:left w:val="nil"/>
              <w:bottom w:val="nil"/>
              <w:right w:val="nil"/>
            </w:tcBorders>
          </w:tcPr>
          <w:p w14:paraId="3EB11863" w14:textId="735F8B48" w:rsidR="00157880" w:rsidRPr="00130ED0" w:rsidRDefault="00157880" w:rsidP="00157880">
            <w:pPr>
              <w:pStyle w:val="Numbertablecolumnheading-centered"/>
            </w:pPr>
            <w:r w:rsidRPr="00130ED0">
              <w:t>1</w:t>
            </w:r>
          </w:p>
        </w:tc>
        <w:tc>
          <w:tcPr>
            <w:tcW w:w="591" w:type="pct"/>
            <w:tcBorders>
              <w:top w:val="nil"/>
              <w:left w:val="nil"/>
              <w:bottom w:val="nil"/>
              <w:right w:val="single" w:sz="4" w:space="0" w:color="auto"/>
            </w:tcBorders>
          </w:tcPr>
          <w:p w14:paraId="2B0161BC" w14:textId="336F3A60" w:rsidR="00157880" w:rsidRPr="00130ED0" w:rsidRDefault="00157880" w:rsidP="00157880">
            <w:pPr>
              <w:pStyle w:val="Numbertablecolumnheading-centered"/>
            </w:pPr>
            <w:r w:rsidRPr="00130ED0">
              <w:t>3,000</w:t>
            </w:r>
          </w:p>
        </w:tc>
      </w:tr>
      <w:tr w:rsidR="00157880" w14:paraId="6680507D" w14:textId="77777777" w:rsidTr="008F467D">
        <w:trPr>
          <w:trHeight w:val="140"/>
        </w:trPr>
        <w:tc>
          <w:tcPr>
            <w:tcW w:w="1723" w:type="pct"/>
            <w:tcBorders>
              <w:top w:val="nil"/>
              <w:left w:val="single" w:sz="4" w:space="0" w:color="auto"/>
              <w:bottom w:val="nil"/>
              <w:right w:val="nil"/>
            </w:tcBorders>
          </w:tcPr>
          <w:p w14:paraId="37FCA279" w14:textId="32E87B30" w:rsidR="00157880" w:rsidRPr="00130ED0" w:rsidRDefault="00157880" w:rsidP="00157880">
            <w:pPr>
              <w:pStyle w:val="Numbertablecolumnheading-leftaligned"/>
            </w:pPr>
            <w:r w:rsidRPr="00130ED0">
              <w:t>Sensory</w:t>
            </w:r>
            <w:r>
              <w:t xml:space="preserve"> –</w:t>
            </w:r>
            <w:r w:rsidRPr="00130ED0">
              <w:t xml:space="preserve"> 0 to 14</w:t>
            </w:r>
            <w:r w:rsidR="00F04F68">
              <w:t xml:space="preserve"> years</w:t>
            </w:r>
          </w:p>
        </w:tc>
        <w:tc>
          <w:tcPr>
            <w:tcW w:w="491" w:type="pct"/>
            <w:tcBorders>
              <w:top w:val="nil"/>
              <w:left w:val="nil"/>
              <w:bottom w:val="nil"/>
              <w:right w:val="nil"/>
            </w:tcBorders>
          </w:tcPr>
          <w:p w14:paraId="71F1D232" w14:textId="420237D9" w:rsidR="00157880" w:rsidRPr="00130ED0" w:rsidRDefault="00157880" w:rsidP="00157880">
            <w:pPr>
              <w:pStyle w:val="Numbertablecolumnheading-centered"/>
            </w:pPr>
            <w:r w:rsidRPr="00130ED0">
              <w:t>&lt; 0.5</w:t>
            </w:r>
          </w:p>
        </w:tc>
        <w:tc>
          <w:tcPr>
            <w:tcW w:w="601" w:type="pct"/>
            <w:tcBorders>
              <w:top w:val="nil"/>
              <w:left w:val="nil"/>
              <w:bottom w:val="nil"/>
              <w:right w:val="nil"/>
            </w:tcBorders>
          </w:tcPr>
          <w:p w14:paraId="6519CAFD" w14:textId="6A254BBB" w:rsidR="00157880" w:rsidRPr="00130ED0" w:rsidRDefault="00157880" w:rsidP="00157880">
            <w:pPr>
              <w:pStyle w:val="Numbertablecolumnheading-centered"/>
            </w:pPr>
            <w:r w:rsidRPr="00130ED0">
              <w:t>3,000</w:t>
            </w:r>
          </w:p>
        </w:tc>
        <w:tc>
          <w:tcPr>
            <w:tcW w:w="493" w:type="pct"/>
            <w:tcBorders>
              <w:top w:val="nil"/>
              <w:left w:val="nil"/>
              <w:bottom w:val="nil"/>
              <w:right w:val="nil"/>
            </w:tcBorders>
          </w:tcPr>
          <w:p w14:paraId="298D2B72" w14:textId="33D74536" w:rsidR="00157880" w:rsidRPr="00130ED0" w:rsidRDefault="00157880" w:rsidP="00157880">
            <w:pPr>
              <w:pStyle w:val="Numbertablecolumnheading-centered"/>
            </w:pPr>
            <w:r w:rsidRPr="00130ED0">
              <w:t>&lt; 0.5</w:t>
            </w:r>
          </w:p>
        </w:tc>
        <w:tc>
          <w:tcPr>
            <w:tcW w:w="610" w:type="pct"/>
            <w:tcBorders>
              <w:top w:val="nil"/>
              <w:left w:val="nil"/>
              <w:bottom w:val="nil"/>
              <w:right w:val="nil"/>
            </w:tcBorders>
          </w:tcPr>
          <w:p w14:paraId="27C87E98" w14:textId="64870141" w:rsidR="00157880" w:rsidRPr="00130ED0" w:rsidRDefault="00157880" w:rsidP="00157880">
            <w:pPr>
              <w:pStyle w:val="Numbertablecolumnheading-centered"/>
            </w:pPr>
            <w:r w:rsidRPr="00130ED0">
              <w:t>2,000</w:t>
            </w:r>
          </w:p>
        </w:tc>
        <w:tc>
          <w:tcPr>
            <w:tcW w:w="491" w:type="pct"/>
            <w:tcBorders>
              <w:top w:val="nil"/>
              <w:left w:val="nil"/>
              <w:bottom w:val="nil"/>
              <w:right w:val="nil"/>
            </w:tcBorders>
          </w:tcPr>
          <w:p w14:paraId="51AD6050" w14:textId="2A48163F" w:rsidR="00157880" w:rsidRPr="00130ED0" w:rsidRDefault="00157880" w:rsidP="00157880">
            <w:pPr>
              <w:pStyle w:val="Numbertablecolumnheading-centered"/>
            </w:pPr>
            <w:r w:rsidRPr="00130ED0">
              <w:t>&lt; 0.5</w:t>
            </w:r>
          </w:p>
        </w:tc>
        <w:tc>
          <w:tcPr>
            <w:tcW w:w="591" w:type="pct"/>
            <w:tcBorders>
              <w:top w:val="nil"/>
              <w:left w:val="nil"/>
              <w:bottom w:val="nil"/>
              <w:right w:val="single" w:sz="4" w:space="0" w:color="auto"/>
            </w:tcBorders>
          </w:tcPr>
          <w:p w14:paraId="0354C7C4" w14:textId="2A8A3D7D" w:rsidR="00157880" w:rsidRPr="00130ED0" w:rsidRDefault="00157880" w:rsidP="00157880">
            <w:pPr>
              <w:pStyle w:val="Numbertablecolumnheading-centered"/>
            </w:pPr>
            <w:r w:rsidRPr="00130ED0">
              <w:t>2,000</w:t>
            </w:r>
          </w:p>
        </w:tc>
      </w:tr>
      <w:tr w:rsidR="00157880" w14:paraId="3FE76C6B" w14:textId="77777777" w:rsidTr="008F467D">
        <w:trPr>
          <w:trHeight w:val="284"/>
        </w:trPr>
        <w:tc>
          <w:tcPr>
            <w:tcW w:w="1723" w:type="pct"/>
            <w:tcBorders>
              <w:top w:val="nil"/>
              <w:left w:val="single" w:sz="4" w:space="0" w:color="auto"/>
              <w:bottom w:val="single" w:sz="4" w:space="0" w:color="auto"/>
              <w:right w:val="nil"/>
            </w:tcBorders>
          </w:tcPr>
          <w:p w14:paraId="26BFA4C4" w14:textId="44DBEE7A" w:rsidR="00157880" w:rsidRPr="00BB1E87" w:rsidRDefault="00157880" w:rsidP="00157880">
            <w:pPr>
              <w:pStyle w:val="Numbertablecolumnheading-leftaligned"/>
            </w:pPr>
            <w:r w:rsidRPr="00130ED0">
              <w:t>Total</w:t>
            </w:r>
            <w:r>
              <w:t xml:space="preserve"> –</w:t>
            </w:r>
            <w:r w:rsidRPr="00130ED0">
              <w:t xml:space="preserve"> 0 to 14 </w:t>
            </w:r>
            <w:r w:rsidR="00F04F68">
              <w:t>years</w:t>
            </w:r>
          </w:p>
        </w:tc>
        <w:tc>
          <w:tcPr>
            <w:tcW w:w="491" w:type="pct"/>
            <w:tcBorders>
              <w:top w:val="nil"/>
              <w:left w:val="nil"/>
              <w:bottom w:val="single" w:sz="4" w:space="0" w:color="auto"/>
              <w:right w:val="nil"/>
            </w:tcBorders>
          </w:tcPr>
          <w:p w14:paraId="2120B7C4" w14:textId="40BF3710" w:rsidR="00157880" w:rsidRPr="008C60EC" w:rsidRDefault="00157880" w:rsidP="00157880">
            <w:pPr>
              <w:pStyle w:val="Numbertablecolumnheading-centered"/>
            </w:pPr>
            <w:r w:rsidRPr="00130ED0">
              <w:t>10</w:t>
            </w:r>
          </w:p>
        </w:tc>
        <w:tc>
          <w:tcPr>
            <w:tcW w:w="601" w:type="pct"/>
            <w:tcBorders>
              <w:top w:val="nil"/>
              <w:left w:val="nil"/>
              <w:bottom w:val="single" w:sz="4" w:space="0" w:color="auto"/>
              <w:right w:val="nil"/>
            </w:tcBorders>
          </w:tcPr>
          <w:p w14:paraId="7F369565" w14:textId="3CC9F5B9" w:rsidR="00157880" w:rsidRPr="008C60EC" w:rsidRDefault="00157880" w:rsidP="00157880">
            <w:pPr>
              <w:pStyle w:val="Numbertablecolumnheading-centered"/>
            </w:pPr>
            <w:r w:rsidRPr="00130ED0">
              <w:t>98,000</w:t>
            </w:r>
          </w:p>
        </w:tc>
        <w:tc>
          <w:tcPr>
            <w:tcW w:w="493" w:type="pct"/>
            <w:tcBorders>
              <w:top w:val="nil"/>
              <w:left w:val="nil"/>
              <w:bottom w:val="single" w:sz="4" w:space="0" w:color="auto"/>
              <w:right w:val="nil"/>
            </w:tcBorders>
          </w:tcPr>
          <w:p w14:paraId="6C0E308F" w14:textId="1ADA5E06" w:rsidR="00157880" w:rsidRPr="008C60EC" w:rsidRDefault="00157880" w:rsidP="00157880">
            <w:pPr>
              <w:pStyle w:val="Numbertablecolumnheading-centered"/>
            </w:pPr>
            <w:r w:rsidRPr="00130ED0">
              <w:t>12</w:t>
            </w:r>
          </w:p>
        </w:tc>
        <w:tc>
          <w:tcPr>
            <w:tcW w:w="610" w:type="pct"/>
            <w:tcBorders>
              <w:top w:val="nil"/>
              <w:left w:val="nil"/>
              <w:bottom w:val="single" w:sz="4" w:space="0" w:color="auto"/>
              <w:right w:val="nil"/>
            </w:tcBorders>
          </w:tcPr>
          <w:p w14:paraId="7769DB4D" w14:textId="6560E246" w:rsidR="00157880" w:rsidRPr="008C60EC" w:rsidRDefault="00157880" w:rsidP="00157880">
            <w:pPr>
              <w:pStyle w:val="Numbertablecolumnheading-centered"/>
            </w:pPr>
            <w:r w:rsidRPr="00130ED0">
              <w:t>61,000</w:t>
            </w:r>
          </w:p>
        </w:tc>
        <w:tc>
          <w:tcPr>
            <w:tcW w:w="491" w:type="pct"/>
            <w:tcBorders>
              <w:top w:val="nil"/>
              <w:left w:val="nil"/>
              <w:bottom w:val="single" w:sz="4" w:space="0" w:color="auto"/>
              <w:right w:val="nil"/>
            </w:tcBorders>
          </w:tcPr>
          <w:p w14:paraId="330F14D5" w14:textId="2C7D5B28" w:rsidR="00157880" w:rsidRPr="008C60EC" w:rsidRDefault="00157880" w:rsidP="00157880">
            <w:pPr>
              <w:pStyle w:val="Numbertablecolumnheading-centered"/>
            </w:pPr>
            <w:r w:rsidRPr="00130ED0">
              <w:t>8</w:t>
            </w:r>
          </w:p>
        </w:tc>
        <w:tc>
          <w:tcPr>
            <w:tcW w:w="591" w:type="pct"/>
            <w:tcBorders>
              <w:top w:val="nil"/>
              <w:left w:val="nil"/>
              <w:bottom w:val="single" w:sz="4" w:space="0" w:color="auto"/>
              <w:right w:val="single" w:sz="4" w:space="0" w:color="auto"/>
            </w:tcBorders>
          </w:tcPr>
          <w:p w14:paraId="649EEC98" w14:textId="18BF45CE" w:rsidR="00157880" w:rsidRPr="008C60EC" w:rsidRDefault="00157880" w:rsidP="00157880">
            <w:pPr>
              <w:pStyle w:val="Numbertablecolumnheading-centered"/>
            </w:pPr>
            <w:r w:rsidRPr="00130ED0">
              <w:t>37,000</w:t>
            </w:r>
          </w:p>
        </w:tc>
      </w:tr>
      <w:tr w:rsidR="00157880" w14:paraId="42D4C797" w14:textId="77777777" w:rsidTr="008F467D">
        <w:trPr>
          <w:trHeight w:val="284"/>
        </w:trPr>
        <w:tc>
          <w:tcPr>
            <w:tcW w:w="5000" w:type="pct"/>
            <w:gridSpan w:val="7"/>
            <w:tcBorders>
              <w:top w:val="single" w:sz="4" w:space="0" w:color="auto"/>
              <w:left w:val="single" w:sz="4" w:space="0" w:color="auto"/>
              <w:right w:val="single" w:sz="4" w:space="0" w:color="auto"/>
            </w:tcBorders>
            <w:vAlign w:val="center"/>
          </w:tcPr>
          <w:p w14:paraId="2C371F9C" w14:textId="6AB15BEB" w:rsidR="00157880" w:rsidRPr="00D37CD2" w:rsidRDefault="00157880" w:rsidP="00157880">
            <w:pPr>
              <w:pStyle w:val="Numbertablecolumnheading-centered"/>
              <w:jc w:val="left"/>
            </w:pPr>
            <w:r>
              <w:t>Children</w:t>
            </w:r>
            <w:r w:rsidRPr="00010257">
              <w:t xml:space="preserve"> </w:t>
            </w:r>
            <w:r>
              <w:t>with functional difficulties in more than one domain were counted in each</w:t>
            </w:r>
            <w:r w:rsidRPr="00010257">
              <w:t>.</w:t>
            </w:r>
          </w:p>
          <w:p w14:paraId="59C47C3C" w14:textId="39CE604B" w:rsidR="00157880" w:rsidRDefault="00157880" w:rsidP="00157880">
            <w:pPr>
              <w:pStyle w:val="Numbertablecolumnheading-centered"/>
              <w:jc w:val="left"/>
            </w:pPr>
            <w:r>
              <w:t>Children</w:t>
            </w:r>
            <w:r w:rsidRPr="00010257">
              <w:t xml:space="preserve"> </w:t>
            </w:r>
            <w:r w:rsidRPr="006B1F0D">
              <w:t>with a gender other than male or female (including non-specified genders) are included in the total column</w:t>
            </w:r>
            <w:r>
              <w:t xml:space="preserve"> only</w:t>
            </w:r>
            <w:r w:rsidRPr="006B1F0D">
              <w:t>.</w:t>
            </w:r>
          </w:p>
          <w:p w14:paraId="3FB3DCD6" w14:textId="77C6513C" w:rsidR="00C24599" w:rsidRDefault="007D3472" w:rsidP="00C24599">
            <w:pPr>
              <w:pStyle w:val="Numbertablecolumnheading-centered"/>
              <w:jc w:val="left"/>
            </w:pPr>
            <w:r>
              <w:t>D</w:t>
            </w:r>
            <w:r w:rsidR="00157880">
              <w:t xml:space="preserve">omains with significant differences between </w:t>
            </w:r>
            <w:r w:rsidR="00C24599">
              <w:t>boys</w:t>
            </w:r>
            <w:r w:rsidR="00157880">
              <w:t xml:space="preserve"> and </w:t>
            </w:r>
            <w:r w:rsidR="00C24599">
              <w:t>girls</w:t>
            </w:r>
            <w:r w:rsidR="00157880">
              <w:t xml:space="preserve"> are listed first</w:t>
            </w:r>
            <w:r>
              <w:t>,</w:t>
            </w:r>
            <w:r w:rsidR="00157880">
              <w:t xml:space="preserve"> by total size</w:t>
            </w:r>
            <w:r>
              <w:t>. D</w:t>
            </w:r>
            <w:r w:rsidR="00157880">
              <w:t xml:space="preserve">omains without significant differences between </w:t>
            </w:r>
            <w:r w:rsidR="00C24599">
              <w:t>boys</w:t>
            </w:r>
            <w:r w:rsidR="00157880">
              <w:t xml:space="preserve"> and </w:t>
            </w:r>
            <w:r w:rsidR="00C24599">
              <w:t>girls</w:t>
            </w:r>
            <w:r w:rsidR="00157880">
              <w:t xml:space="preserve"> listed </w:t>
            </w:r>
            <w:r>
              <w:t xml:space="preserve">next, also </w:t>
            </w:r>
            <w:r w:rsidR="00157880">
              <w:t>by total size.</w:t>
            </w:r>
            <w:r w:rsidR="00C24599">
              <w:t xml:space="preserve"> </w:t>
            </w:r>
          </w:p>
          <w:p w14:paraId="61DEFE75" w14:textId="77777777" w:rsidR="00157880" w:rsidRPr="008C60EC" w:rsidRDefault="00157880" w:rsidP="00C24599">
            <w:pPr>
              <w:pStyle w:val="Numbertablecolumnheading-centered"/>
              <w:jc w:val="left"/>
            </w:pPr>
            <w:r w:rsidRPr="4A07F070">
              <w:rPr>
                <w:b/>
              </w:rPr>
              <w:t>Source</w:t>
            </w:r>
            <w:r>
              <w:t>: Stats NZ</w:t>
            </w:r>
          </w:p>
        </w:tc>
      </w:tr>
    </w:tbl>
    <w:p w14:paraId="77892F0D" w14:textId="10CE6ED6" w:rsidR="00524215" w:rsidRDefault="00524215" w:rsidP="00524215">
      <w:pPr>
        <w:pStyle w:val="Heading3"/>
      </w:pPr>
      <w:bookmarkStart w:id="138" w:name="_Toc187762887"/>
      <w:bookmarkStart w:id="139" w:name="_Toc187763848"/>
      <w:bookmarkStart w:id="140" w:name="_Toc190856851"/>
      <w:r>
        <w:t>5.2.2 By ethnic group</w:t>
      </w:r>
      <w:bookmarkEnd w:id="138"/>
      <w:bookmarkEnd w:id="139"/>
      <w:bookmarkEnd w:id="140"/>
      <w:r w:rsidR="00A02E1C">
        <w:t xml:space="preserve"> </w:t>
      </w:r>
    </w:p>
    <w:p w14:paraId="644C1EEB" w14:textId="1905BD26" w:rsidR="003E18D5" w:rsidRDefault="00F859F9" w:rsidP="00F859F9">
      <w:r>
        <w:t xml:space="preserve">Māori children had significantly higher disability rates than the national child rates in four functional domains. These </w:t>
      </w:r>
      <w:r w:rsidR="006F4705">
        <w:t xml:space="preserve">domains </w:t>
      </w:r>
      <w:r>
        <w:t>were:</w:t>
      </w:r>
      <w:r w:rsidR="00A02E1C">
        <w:t xml:space="preserve"> </w:t>
      </w:r>
    </w:p>
    <w:p w14:paraId="28329E70" w14:textId="77098BED" w:rsidR="003E18D5" w:rsidRDefault="005777C0" w:rsidP="003E18D5">
      <w:pPr>
        <w:pStyle w:val="ListParagraph"/>
        <w:numPr>
          <w:ilvl w:val="0"/>
          <w:numId w:val="27"/>
        </w:numPr>
      </w:pPr>
      <w:r>
        <w:t>a</w:t>
      </w:r>
      <w:r w:rsidR="003E18D5">
        <w:t xml:space="preserve">ccepting change to routine – 8 percent </w:t>
      </w:r>
      <w:r w:rsidR="0016769E">
        <w:t>for Māori children and</w:t>
      </w:r>
      <w:r w:rsidR="003E18D5">
        <w:t xml:space="preserve"> 5 percent </w:t>
      </w:r>
      <w:r w:rsidR="0016769E">
        <w:t xml:space="preserve">for </w:t>
      </w:r>
      <w:r w:rsidR="006D7CE5">
        <w:t xml:space="preserve">all </w:t>
      </w:r>
      <w:r w:rsidR="0016769E">
        <w:t xml:space="preserve">children </w:t>
      </w:r>
    </w:p>
    <w:p w14:paraId="2A0A6397" w14:textId="06230702" w:rsidR="003E18D5" w:rsidRDefault="005777C0" w:rsidP="003E18D5">
      <w:pPr>
        <w:pStyle w:val="ListParagraph"/>
        <w:numPr>
          <w:ilvl w:val="0"/>
          <w:numId w:val="27"/>
        </w:numPr>
      </w:pPr>
      <w:r>
        <w:t>c</w:t>
      </w:r>
      <w:r w:rsidR="003E18D5">
        <w:t xml:space="preserve">ontrolling behaviour – 5 percent </w:t>
      </w:r>
      <w:r w:rsidR="006D7CE5">
        <w:t>and</w:t>
      </w:r>
      <w:r w:rsidR="003E18D5">
        <w:t xml:space="preserve"> 3 percent </w:t>
      </w:r>
      <w:r w:rsidR="00450713">
        <w:t>respectively</w:t>
      </w:r>
    </w:p>
    <w:p w14:paraId="419CD6EB" w14:textId="08F33CBE" w:rsidR="003E18D5" w:rsidRDefault="005777C0" w:rsidP="003E18D5">
      <w:pPr>
        <w:pStyle w:val="ListParagraph"/>
        <w:numPr>
          <w:ilvl w:val="0"/>
          <w:numId w:val="27"/>
        </w:numPr>
      </w:pPr>
      <w:r>
        <w:t>m</w:t>
      </w:r>
      <w:r w:rsidR="003E18D5">
        <w:t xml:space="preserve">aking friends – 6 percent </w:t>
      </w:r>
      <w:r w:rsidR="006D7CE5">
        <w:t>and</w:t>
      </w:r>
      <w:r w:rsidR="003E18D5">
        <w:t xml:space="preserve"> 4 percent</w:t>
      </w:r>
      <w:r w:rsidR="00450713">
        <w:t xml:space="preserve"> respectively</w:t>
      </w:r>
    </w:p>
    <w:p w14:paraId="396070FF" w14:textId="338B81D4" w:rsidR="00F859F9" w:rsidRDefault="08C31845" w:rsidP="00F859F9">
      <w:pPr>
        <w:pStyle w:val="ListParagraph"/>
        <w:numPr>
          <w:ilvl w:val="0"/>
          <w:numId w:val="27"/>
        </w:numPr>
      </w:pPr>
      <w:r w:rsidRPr="3524BD2A">
        <w:t>o</w:t>
      </w:r>
      <w:r w:rsidR="77387A08" w:rsidRPr="3524BD2A">
        <w:t xml:space="preserve">ther – 5 percent </w:t>
      </w:r>
      <w:r w:rsidR="493B1806" w:rsidRPr="3524BD2A">
        <w:t>and</w:t>
      </w:r>
      <w:r w:rsidR="77387A08" w:rsidRPr="3524BD2A">
        <w:t xml:space="preserve"> 3 percent</w:t>
      </w:r>
      <w:r w:rsidR="07C4BA09" w:rsidRPr="3524BD2A">
        <w:t xml:space="preserve"> respectively</w:t>
      </w:r>
      <w:r w:rsidR="77387A08" w:rsidRPr="3524BD2A">
        <w:t>.</w:t>
      </w:r>
    </w:p>
    <w:p w14:paraId="43DBBA8E" w14:textId="7A1265E3" w:rsidR="00F859F9" w:rsidRDefault="00F859F9" w:rsidP="00F859F9">
      <w:r>
        <w:t>For Asian children</w:t>
      </w:r>
      <w:r w:rsidR="0066478A">
        <w:t>,</w:t>
      </w:r>
      <w:r>
        <w:t xml:space="preserve"> disability rates were significantly lower than the national child rates for most domains</w:t>
      </w:r>
      <w:r w:rsidR="000512A5">
        <w:t>,</w:t>
      </w:r>
      <w:r w:rsidR="00630A21">
        <w:t xml:space="preserve"> th</w:t>
      </w:r>
      <w:r>
        <w:t xml:space="preserve">e </w:t>
      </w:r>
      <w:r w:rsidR="00E73F15">
        <w:t>s</w:t>
      </w:r>
      <w:r>
        <w:t>ensory domain was too small to report</w:t>
      </w:r>
      <w:r w:rsidR="000512A5">
        <w:t>,</w:t>
      </w:r>
      <w:r>
        <w:t xml:space="preserve"> and differences in the </w:t>
      </w:r>
      <w:r w:rsidR="00630A21">
        <w:t>p</w:t>
      </w:r>
      <w:r>
        <w:t>hysical and ‘</w:t>
      </w:r>
      <w:r w:rsidR="00630A21">
        <w:t>o</w:t>
      </w:r>
      <w:r>
        <w:t>ther’ domains were not significant.</w:t>
      </w:r>
    </w:p>
    <w:p w14:paraId="206FBB4C" w14:textId="6E03C662" w:rsidR="005A5967" w:rsidRDefault="00F859F9" w:rsidP="00F859F9">
      <w:r>
        <w:t xml:space="preserve">For more detailed HDS data on prevalence, functional domains, and on the experiences of disabled people, see the </w:t>
      </w:r>
      <w:r w:rsidR="001124E6" w:rsidRPr="00E41975">
        <w:t>Excel</w:t>
      </w:r>
      <w:r>
        <w:t xml:space="preserve"> tables </w:t>
      </w:r>
      <w:r w:rsidR="001124E6" w:rsidRPr="00E41975">
        <w:t xml:space="preserve">available for download </w:t>
      </w:r>
      <w:r w:rsidR="006D1119">
        <w:t xml:space="preserve">from </w:t>
      </w:r>
      <w:hyperlink r:id="rId37" w:history="1">
        <w:r w:rsidR="008122F6" w:rsidRPr="00D2238A">
          <w:rPr>
            <w:rStyle w:val="Hyperlink"/>
            <w:rFonts w:ascii="Calibri" w:hAnsi="Calibri"/>
          </w:rPr>
          <w:t>Disability statistics: 2023</w:t>
        </w:r>
      </w:hyperlink>
      <w:r w:rsidR="006D1119">
        <w:t>.</w:t>
      </w:r>
    </w:p>
    <w:p w14:paraId="725EF3CA" w14:textId="545F8F5E" w:rsidR="005462F8" w:rsidRDefault="6AE45B68" w:rsidP="00F859F9">
      <w:r w:rsidRPr="3524BD2A">
        <w:t>The remainder of this report contains definitions used in the HDS and a summary of the survey design.</w:t>
      </w:r>
    </w:p>
    <w:p w14:paraId="0551B22B" w14:textId="77777777" w:rsidR="00405836" w:rsidRDefault="00405836">
      <w:pPr>
        <w:spacing w:after="160" w:line="259" w:lineRule="auto"/>
        <w:rPr>
          <w:rFonts w:eastAsiaTheme="majorEastAsia" w:cstheme="majorBidi"/>
          <w:bCs/>
          <w:noProof/>
          <w:color w:val="4E5B61"/>
          <w:sz w:val="40"/>
          <w:szCs w:val="28"/>
          <w:lang w:eastAsia="en-NZ"/>
        </w:rPr>
      </w:pPr>
      <w:bookmarkStart w:id="141" w:name="_Toc187762888"/>
      <w:bookmarkStart w:id="142" w:name="_Toc187763576"/>
      <w:bookmarkStart w:id="143" w:name="_Toc187763849"/>
      <w:r>
        <w:br w:type="page"/>
      </w:r>
    </w:p>
    <w:p w14:paraId="0C5A9BCB" w14:textId="4E4D44B5" w:rsidR="002D4651" w:rsidRDefault="00DE7B7F" w:rsidP="002D4651">
      <w:pPr>
        <w:pStyle w:val="Heading1"/>
      </w:pPr>
      <w:bookmarkStart w:id="144" w:name="_Toc190856852"/>
      <w:r>
        <w:t>6</w:t>
      </w:r>
      <w:r w:rsidR="002D4651">
        <w:t xml:space="preserve">. </w:t>
      </w:r>
      <w:r>
        <w:t>Definitions</w:t>
      </w:r>
      <w:bookmarkEnd w:id="141"/>
      <w:bookmarkEnd w:id="142"/>
      <w:bookmarkEnd w:id="143"/>
      <w:bookmarkEnd w:id="144"/>
    </w:p>
    <w:p w14:paraId="1F001A75" w14:textId="35A73E43" w:rsidR="002D4651" w:rsidRDefault="00AF19CF" w:rsidP="002D4651">
      <w:pPr>
        <w:pStyle w:val="Heading2"/>
      </w:pPr>
      <w:bookmarkStart w:id="145" w:name="_6.1_Defining_disability"/>
      <w:bookmarkStart w:id="146" w:name="_Toc187762889"/>
      <w:bookmarkStart w:id="147" w:name="_Toc187763577"/>
      <w:bookmarkStart w:id="148" w:name="_Toc187763850"/>
      <w:bookmarkStart w:id="149" w:name="_Toc190856853"/>
      <w:bookmarkEnd w:id="145"/>
      <w:r>
        <w:t>6</w:t>
      </w:r>
      <w:r w:rsidR="002D4651">
        <w:t xml:space="preserve">.1 </w:t>
      </w:r>
      <w:r>
        <w:t>Defining disability</w:t>
      </w:r>
      <w:bookmarkEnd w:id="146"/>
      <w:bookmarkEnd w:id="147"/>
      <w:bookmarkEnd w:id="148"/>
      <w:bookmarkEnd w:id="149"/>
    </w:p>
    <w:p w14:paraId="2078E0FE" w14:textId="2B7B5F5D" w:rsidR="0083541B" w:rsidRPr="006014F0" w:rsidRDefault="1AAB67C7" w:rsidP="3524BD2A">
      <w:pPr>
        <w:shd w:val="clear" w:color="auto" w:fill="FFFFFF" w:themeFill="background1"/>
        <w:rPr>
          <w:rFonts w:cstheme="minorBidi"/>
          <w:color w:val="000000"/>
          <w:shd w:val="clear" w:color="auto" w:fill="FFFFFF"/>
        </w:rPr>
      </w:pPr>
      <w:r w:rsidRPr="3524BD2A">
        <w:rPr>
          <w:rFonts w:cstheme="minorBidi"/>
          <w:color w:val="000000"/>
          <w:shd w:val="clear" w:color="auto" w:fill="FFFFFF"/>
        </w:rPr>
        <w:t>Disability is an evolving concept, as recognised in the UN Convention on the Rights of Persons with Disabilities</w:t>
      </w:r>
      <w:r w:rsidR="53C4AF6D" w:rsidRPr="3524BD2A">
        <w:rPr>
          <w:rFonts w:cstheme="minorBidi"/>
          <w:color w:val="000000"/>
          <w:shd w:val="clear" w:color="auto" w:fill="FFFFFF"/>
        </w:rPr>
        <w:t xml:space="preserve"> (UNCRPD)</w:t>
      </w:r>
      <w:bookmarkStart w:id="150" w:name="_Ref190794048"/>
      <w:r w:rsidR="000845F8" w:rsidRPr="3524BD2A">
        <w:rPr>
          <w:rStyle w:val="FootnoteReference"/>
          <w:rFonts w:cstheme="minorBidi"/>
          <w:color w:val="000000"/>
          <w:shd w:val="clear" w:color="auto" w:fill="FFFFFF"/>
        </w:rPr>
        <w:footnoteReference w:id="4"/>
      </w:r>
      <w:bookmarkEnd w:id="150"/>
      <w:r w:rsidR="54BDD5D9" w:rsidRPr="3524BD2A">
        <w:t>.</w:t>
      </w:r>
      <w:r w:rsidR="37A21AB6" w:rsidRPr="3524BD2A">
        <w:t xml:space="preserve"> </w:t>
      </w:r>
      <w:r w:rsidRPr="3524BD2A">
        <w:rPr>
          <w:rFonts w:cstheme="minorBidi"/>
          <w:color w:val="000000"/>
          <w:shd w:val="clear" w:color="auto" w:fill="FFFFFF"/>
        </w:rPr>
        <w:t xml:space="preserve">There are several ways to frame disability and the way in which disabled people are identified </w:t>
      </w:r>
      <w:r w:rsidRPr="3524BD2A" w:rsidDel="00070F75">
        <w:rPr>
          <w:rFonts w:cstheme="minorBidi"/>
          <w:color w:val="000000"/>
          <w:shd w:val="clear" w:color="auto" w:fill="FFFFFF"/>
        </w:rPr>
        <w:t xml:space="preserve">in any given context </w:t>
      </w:r>
      <w:r w:rsidRPr="3524BD2A">
        <w:rPr>
          <w:rFonts w:cstheme="minorBidi"/>
          <w:color w:val="000000"/>
          <w:shd w:val="clear" w:color="auto" w:fill="FFFFFF"/>
        </w:rPr>
        <w:t xml:space="preserve">depends on the reason for doing so. </w:t>
      </w:r>
    </w:p>
    <w:p w14:paraId="561DAF6A" w14:textId="62AF3115" w:rsidR="00661723" w:rsidRDefault="0083541B" w:rsidP="0083541B">
      <w:pPr>
        <w:rPr>
          <w:rFonts w:cstheme="minorHAnsi"/>
          <w:color w:val="000000"/>
          <w:shd w:val="clear" w:color="auto" w:fill="FFFFFF"/>
        </w:rPr>
      </w:pPr>
      <w:r w:rsidRPr="006014F0">
        <w:rPr>
          <w:rFonts w:cstheme="minorHAnsi"/>
          <w:color w:val="000000"/>
          <w:shd w:val="clear" w:color="auto" w:fill="FFFFFF"/>
        </w:rPr>
        <w:t>The N</w:t>
      </w:r>
      <w:r w:rsidR="00F87C38">
        <w:rPr>
          <w:rFonts w:cstheme="minorHAnsi"/>
          <w:color w:val="000000"/>
          <w:shd w:val="clear" w:color="auto" w:fill="FFFFFF"/>
        </w:rPr>
        <w:t xml:space="preserve">ew </w:t>
      </w:r>
      <w:r w:rsidRPr="006014F0">
        <w:rPr>
          <w:rFonts w:cstheme="minorHAnsi"/>
          <w:color w:val="000000"/>
          <w:shd w:val="clear" w:color="auto" w:fill="FFFFFF"/>
        </w:rPr>
        <w:t>Z</w:t>
      </w:r>
      <w:r w:rsidR="00F87C38">
        <w:rPr>
          <w:rFonts w:cstheme="minorHAnsi"/>
          <w:color w:val="000000"/>
          <w:shd w:val="clear" w:color="auto" w:fill="FFFFFF"/>
        </w:rPr>
        <w:t>ealand</w:t>
      </w:r>
      <w:r w:rsidRPr="006014F0">
        <w:rPr>
          <w:rFonts w:cstheme="minorHAnsi"/>
          <w:color w:val="000000"/>
          <w:shd w:val="clear" w:color="auto" w:fill="FFFFFF"/>
        </w:rPr>
        <w:t xml:space="preserve"> Government signed the Convention at the United Nations on 30 March 2007</w:t>
      </w:r>
      <w:r w:rsidR="00C42685">
        <w:rPr>
          <w:rFonts w:cstheme="minorHAnsi"/>
          <w:color w:val="000000"/>
          <w:shd w:val="clear" w:color="auto" w:fill="FFFFFF"/>
        </w:rPr>
        <w:t xml:space="preserve"> </w:t>
      </w:r>
      <w:r w:rsidRPr="006014F0">
        <w:rPr>
          <w:rFonts w:cstheme="minorHAnsi"/>
          <w:color w:val="000000"/>
          <w:shd w:val="clear" w:color="auto" w:fill="FFFFFF"/>
        </w:rPr>
        <w:t>and ratified it on 26 September 2008.</w:t>
      </w:r>
      <w:r w:rsidRPr="006014F0">
        <w:rPr>
          <w:rFonts w:cstheme="minorHAnsi"/>
        </w:rPr>
        <w:t xml:space="preserve"> </w:t>
      </w:r>
      <w:r w:rsidRPr="006014F0">
        <w:rPr>
          <w:rFonts w:cstheme="minorHAnsi"/>
          <w:color w:val="000000"/>
          <w:shd w:val="clear" w:color="auto" w:fill="FFFFFF"/>
        </w:rPr>
        <w:t>New Zealand acceded to the Optional Protocol to the Convention on 5 October 2016</w:t>
      </w:r>
      <w:r w:rsidR="00737A2B">
        <w:rPr>
          <w:rFonts w:cstheme="minorHAnsi"/>
          <w:color w:val="000000"/>
          <w:shd w:val="clear" w:color="auto" w:fill="FFFFFF"/>
        </w:rPr>
        <w:t xml:space="preserve"> and this</w:t>
      </w:r>
      <w:r w:rsidRPr="006014F0">
        <w:rPr>
          <w:rFonts w:cstheme="minorHAnsi"/>
          <w:color w:val="000000"/>
          <w:shd w:val="clear" w:color="auto" w:fill="FFFFFF"/>
        </w:rPr>
        <w:t xml:space="preserve"> came into force on 4 November 2016.</w:t>
      </w:r>
      <w:r w:rsidR="00A02E1C">
        <w:rPr>
          <w:rFonts w:cstheme="minorHAnsi"/>
          <w:color w:val="000000"/>
          <w:shd w:val="clear" w:color="auto" w:fill="FFFFFF"/>
        </w:rPr>
        <w:t xml:space="preserve"> </w:t>
      </w:r>
    </w:p>
    <w:p w14:paraId="7772646C" w14:textId="05A7B842" w:rsidR="0083541B" w:rsidRPr="006014F0" w:rsidRDefault="0083541B" w:rsidP="0083541B">
      <w:pPr>
        <w:rPr>
          <w:rFonts w:cstheme="minorHAnsi"/>
          <w:color w:val="000000"/>
          <w:shd w:val="clear" w:color="auto" w:fill="FFFFFF"/>
        </w:rPr>
      </w:pPr>
      <w:r w:rsidRPr="006014F0">
        <w:rPr>
          <w:rFonts w:cstheme="minorHAnsi"/>
          <w:color w:val="000000"/>
          <w:shd w:val="clear" w:color="auto" w:fill="FFFFFF"/>
        </w:rPr>
        <w:t>The definition of disabled people in the UNCRPD reads: “…[people] who have long-term physical, mental, intellectual or sensory impairments which, in interaction with various barriers, may hinder their full and effective participation in society on an equal basis with others</w:t>
      </w:r>
      <w:r w:rsidR="00565B67">
        <w:rPr>
          <w:rFonts w:cstheme="minorHAnsi"/>
          <w:color w:val="000000"/>
          <w:shd w:val="clear" w:color="auto" w:fill="FFFFFF"/>
        </w:rPr>
        <w:t>”</w:t>
      </w:r>
      <w:r w:rsidR="00C92186">
        <w:rPr>
          <w:rFonts w:cstheme="minorHAnsi"/>
          <w:color w:val="000000"/>
          <w:shd w:val="clear" w:color="auto" w:fill="FFFFFF"/>
        </w:rPr>
        <w:fldChar w:fldCharType="begin"/>
      </w:r>
      <w:r w:rsidR="00C92186">
        <w:rPr>
          <w:rFonts w:cstheme="minorHAnsi"/>
          <w:color w:val="000000"/>
          <w:shd w:val="clear" w:color="auto" w:fill="FFFFFF"/>
        </w:rPr>
        <w:instrText xml:space="preserve"> NOTEREF _Ref190794048 \f \h </w:instrText>
      </w:r>
      <w:r w:rsidR="00C92186">
        <w:rPr>
          <w:rFonts w:cstheme="minorHAnsi"/>
          <w:color w:val="000000"/>
          <w:shd w:val="clear" w:color="auto" w:fill="FFFFFF"/>
        </w:rPr>
      </w:r>
      <w:r w:rsidR="00C92186">
        <w:rPr>
          <w:rFonts w:cstheme="minorHAnsi"/>
          <w:color w:val="000000"/>
          <w:shd w:val="clear" w:color="auto" w:fill="FFFFFF"/>
        </w:rPr>
        <w:fldChar w:fldCharType="separate"/>
      </w:r>
      <w:r w:rsidR="00140BE8" w:rsidRPr="00140BE8">
        <w:rPr>
          <w:rStyle w:val="FootnoteReference"/>
        </w:rPr>
        <w:t>3</w:t>
      </w:r>
      <w:r w:rsidR="00C92186">
        <w:rPr>
          <w:rFonts w:cstheme="minorHAnsi"/>
          <w:color w:val="000000"/>
          <w:shd w:val="clear" w:color="auto" w:fill="FFFFFF"/>
        </w:rPr>
        <w:fldChar w:fldCharType="end"/>
      </w:r>
      <w:r w:rsidR="00697B39">
        <w:rPr>
          <w:rFonts w:cstheme="minorHAnsi"/>
          <w:color w:val="000000"/>
          <w:shd w:val="clear" w:color="auto" w:fill="FFFFFF"/>
        </w:rPr>
        <w:t>.</w:t>
      </w:r>
    </w:p>
    <w:p w14:paraId="7A836D8E" w14:textId="29A8F24F" w:rsidR="0083541B" w:rsidRPr="006014F0" w:rsidRDefault="0083541B" w:rsidP="0083541B">
      <w:pPr>
        <w:rPr>
          <w:rFonts w:cstheme="minorHAnsi"/>
          <w:color w:val="000000"/>
          <w:shd w:val="clear" w:color="auto" w:fill="FFFFFF"/>
        </w:rPr>
      </w:pPr>
      <w:r w:rsidRPr="006014F0">
        <w:rPr>
          <w:rFonts w:cstheme="minorHAnsi"/>
          <w:color w:val="000000"/>
          <w:shd w:val="clear" w:color="auto" w:fill="FFFFFF"/>
        </w:rPr>
        <w:t>For data collection purposes</w:t>
      </w:r>
      <w:r w:rsidR="00957F0D">
        <w:rPr>
          <w:rFonts w:cstheme="minorHAnsi"/>
          <w:color w:val="000000"/>
          <w:shd w:val="clear" w:color="auto" w:fill="FFFFFF"/>
        </w:rPr>
        <w:t>,</w:t>
      </w:r>
      <w:r w:rsidRPr="006014F0">
        <w:rPr>
          <w:rFonts w:cstheme="minorHAnsi"/>
          <w:color w:val="000000"/>
          <w:shd w:val="clear" w:color="auto" w:fill="FFFFFF"/>
        </w:rPr>
        <w:t xml:space="preserve"> the conceptual framework for measuring disability in the HDS is provided by the International Classification of Function</w:t>
      </w:r>
      <w:r w:rsidR="00EA74FF">
        <w:rPr>
          <w:rFonts w:cstheme="minorHAnsi"/>
          <w:color w:val="000000"/>
          <w:shd w:val="clear" w:color="auto" w:fill="FFFFFF"/>
        </w:rPr>
        <w:t>ing</w:t>
      </w:r>
      <w:r w:rsidRPr="006014F0">
        <w:rPr>
          <w:rFonts w:cstheme="minorHAnsi"/>
          <w:color w:val="000000"/>
          <w:shd w:val="clear" w:color="auto" w:fill="FFFFFF"/>
        </w:rPr>
        <w:t>, Disability</w:t>
      </w:r>
      <w:r w:rsidR="009B275C">
        <w:rPr>
          <w:rFonts w:cstheme="minorHAnsi"/>
          <w:color w:val="000000"/>
          <w:shd w:val="clear" w:color="auto" w:fill="FFFFFF"/>
        </w:rPr>
        <w:t>,</w:t>
      </w:r>
      <w:r w:rsidRPr="006014F0">
        <w:rPr>
          <w:rFonts w:cstheme="minorHAnsi"/>
          <w:color w:val="000000"/>
          <w:shd w:val="clear" w:color="auto" w:fill="FFFFFF"/>
        </w:rPr>
        <w:t xml:space="preserve"> and Health (ICF). </w:t>
      </w:r>
    </w:p>
    <w:p w14:paraId="176287B0" w14:textId="2F8DA545" w:rsidR="0083541B" w:rsidRDefault="0083541B" w:rsidP="0083541B">
      <w:pPr>
        <w:rPr>
          <w:rFonts w:cstheme="minorHAnsi"/>
        </w:rPr>
      </w:pPr>
      <w:r w:rsidRPr="006014F0">
        <w:rPr>
          <w:rFonts w:cstheme="minorHAnsi"/>
          <w:color w:val="000000"/>
          <w:shd w:val="clear" w:color="auto" w:fill="FFFFFF"/>
        </w:rPr>
        <w:t>The ICF conceptualises a person's level of functioning as a dynamic interaction between their health conditions, environmental factors, and personal factors. It is a biopsychosocial model of disability, based on an integration of social and medical views of disability. The ICF states that d</w:t>
      </w:r>
      <w:r w:rsidRPr="006014F0">
        <w:rPr>
          <w:rFonts w:cstheme="minorHAnsi"/>
        </w:rPr>
        <w:t>isability is an umbrella term for impairments, activity limitations</w:t>
      </w:r>
      <w:r w:rsidR="008A3C7F">
        <w:rPr>
          <w:rFonts w:cstheme="minorHAnsi"/>
        </w:rPr>
        <w:t>,</w:t>
      </w:r>
      <w:r w:rsidRPr="006014F0">
        <w:rPr>
          <w:rFonts w:cstheme="minorHAnsi"/>
        </w:rPr>
        <w:t xml:space="preserve"> and participation restrictions</w:t>
      </w:r>
      <w:r w:rsidR="00B766F1">
        <w:rPr>
          <w:rStyle w:val="FootnoteReference"/>
          <w:rFonts w:cstheme="minorHAnsi"/>
        </w:rPr>
        <w:footnoteReference w:id="5"/>
      </w:r>
      <w:r w:rsidRPr="006014F0">
        <w:rPr>
          <w:rFonts w:cstheme="minorHAnsi"/>
        </w:rPr>
        <w:t>.</w:t>
      </w:r>
    </w:p>
    <w:p w14:paraId="17BAFA60" w14:textId="51BD9FED" w:rsidR="00C1570F" w:rsidRDefault="00507478" w:rsidP="00C1570F">
      <w:pPr>
        <w:rPr>
          <w:rFonts w:cstheme="minorHAnsi"/>
        </w:rPr>
      </w:pPr>
      <w:r w:rsidRPr="00507478">
        <w:rPr>
          <w:rFonts w:cstheme="minorHAnsi"/>
        </w:rPr>
        <w:t xml:space="preserve">As </w:t>
      </w:r>
      <w:r w:rsidR="000A7021">
        <w:rPr>
          <w:rFonts w:cstheme="minorHAnsi"/>
        </w:rPr>
        <w:t>figure</w:t>
      </w:r>
      <w:r w:rsidR="00C1570F">
        <w:rPr>
          <w:rFonts w:cstheme="minorHAnsi"/>
        </w:rPr>
        <w:t xml:space="preserve"> 1 shows</w:t>
      </w:r>
      <w:r w:rsidR="000A7021">
        <w:rPr>
          <w:rFonts w:cstheme="minorHAnsi"/>
        </w:rPr>
        <w:t xml:space="preserve">, </w:t>
      </w:r>
      <w:r w:rsidRPr="00507478">
        <w:rPr>
          <w:rFonts w:cstheme="minorHAnsi"/>
        </w:rPr>
        <w:t>in</w:t>
      </w:r>
      <w:r w:rsidR="00C1570F" w:rsidRPr="00507478">
        <w:rPr>
          <w:rFonts w:cstheme="minorHAnsi"/>
        </w:rPr>
        <w:t xml:space="preserve"> </w:t>
      </w:r>
      <w:r w:rsidR="00C1570F">
        <w:rPr>
          <w:rFonts w:cstheme="minorHAnsi"/>
        </w:rPr>
        <w:t xml:space="preserve">the </w:t>
      </w:r>
      <w:r w:rsidR="00C1570F" w:rsidRPr="00507478">
        <w:rPr>
          <w:rFonts w:cstheme="minorHAnsi"/>
        </w:rPr>
        <w:t xml:space="preserve">ICF disability and functioning </w:t>
      </w:r>
      <w:r w:rsidRPr="00507478">
        <w:rPr>
          <w:rFonts w:cstheme="minorHAnsi"/>
        </w:rPr>
        <w:t xml:space="preserve">are viewed </w:t>
      </w:r>
      <w:r w:rsidR="00C1570F" w:rsidRPr="00507478">
        <w:rPr>
          <w:rFonts w:cstheme="minorHAnsi"/>
        </w:rPr>
        <w:t>as</w:t>
      </w:r>
      <w:r w:rsidR="00C1570F">
        <w:rPr>
          <w:rFonts w:cstheme="minorHAnsi"/>
        </w:rPr>
        <w:t xml:space="preserve"> </w:t>
      </w:r>
      <w:r w:rsidR="00C1570F" w:rsidRPr="00507478">
        <w:rPr>
          <w:rFonts w:cstheme="minorHAnsi"/>
        </w:rPr>
        <w:t>outcomes of interactions between health conditions (diseases, disorders</w:t>
      </w:r>
      <w:r w:rsidR="00A976D6">
        <w:rPr>
          <w:rFonts w:cstheme="minorHAnsi"/>
        </w:rPr>
        <w:t>,</w:t>
      </w:r>
      <w:r w:rsidR="00C1570F" w:rsidRPr="00507478">
        <w:rPr>
          <w:rFonts w:cstheme="minorHAnsi"/>
        </w:rPr>
        <w:t xml:space="preserve"> and</w:t>
      </w:r>
      <w:r w:rsidR="00C1570F">
        <w:rPr>
          <w:rFonts w:cstheme="minorHAnsi"/>
        </w:rPr>
        <w:t xml:space="preserve"> </w:t>
      </w:r>
      <w:r w:rsidR="00C1570F" w:rsidRPr="00507478">
        <w:rPr>
          <w:rFonts w:cstheme="minorHAnsi"/>
        </w:rPr>
        <w:t>injuries) and contextual factors</w:t>
      </w:r>
      <w:r w:rsidR="00C1570F">
        <w:rPr>
          <w:rStyle w:val="FootnoteReference"/>
          <w:rFonts w:cstheme="minorHAnsi"/>
          <w:color w:val="000000"/>
          <w:shd w:val="clear" w:color="auto" w:fill="FFFFFF"/>
        </w:rPr>
        <w:footnoteReference w:id="6"/>
      </w:r>
      <w:r w:rsidR="00C1570F" w:rsidRPr="006014F0">
        <w:rPr>
          <w:rFonts w:cstheme="minorHAnsi"/>
          <w:color w:val="000000"/>
          <w:shd w:val="clear" w:color="auto" w:fill="FFFFFF"/>
        </w:rPr>
        <w:t>.</w:t>
      </w:r>
    </w:p>
    <w:p w14:paraId="43940BBC" w14:textId="58904B78" w:rsidR="00B01A21" w:rsidRPr="00F86774" w:rsidRDefault="007020B5" w:rsidP="00503959">
      <w:pPr>
        <w:pStyle w:val="Figureandtablenumbers"/>
      </w:pPr>
      <w:r w:rsidRPr="00F86774">
        <w:t>Figure 1</w:t>
      </w:r>
      <w:r w:rsidR="0036696D" w:rsidRPr="00F86774">
        <w:t>.</w:t>
      </w:r>
      <w:r w:rsidR="00300772" w:rsidRPr="00F86774">
        <w:t xml:space="preserve"> </w:t>
      </w:r>
      <w:r w:rsidR="00BF6763" w:rsidRPr="00F86774">
        <w:t>Components o</w:t>
      </w:r>
      <w:r w:rsidR="00E33E3C" w:rsidRPr="00F86774">
        <w:t xml:space="preserve">f the </w:t>
      </w:r>
      <w:r w:rsidR="00300772" w:rsidRPr="00F86774">
        <w:t>International Classification of Function</w:t>
      </w:r>
      <w:r w:rsidR="000414C8" w:rsidRPr="00F86774">
        <w:t>ing</w:t>
      </w:r>
      <w:r w:rsidR="00300772" w:rsidRPr="00F86774">
        <w:t>, Disability</w:t>
      </w:r>
      <w:r w:rsidR="009B275C" w:rsidRPr="00F86774">
        <w:t>,</w:t>
      </w:r>
      <w:r w:rsidR="00300772" w:rsidRPr="00F86774">
        <w:t xml:space="preserve"> and Health </w:t>
      </w:r>
      <w:r w:rsidR="004E4F7B" w:rsidRPr="00F86774">
        <w:t>framework</w:t>
      </w:r>
    </w:p>
    <w:p w14:paraId="24671483" w14:textId="500BD8B4" w:rsidR="008B636F" w:rsidRPr="00A2348B" w:rsidRDefault="00B0667F" w:rsidP="00503959">
      <w:pPr>
        <w:pStyle w:val="Figuretitle-forhiding"/>
      </w:pPr>
      <w:bookmarkStart w:id="151" w:name="_Toc189663839"/>
      <w:r w:rsidRPr="003F39E9">
        <w:t xml:space="preserve">1. </w:t>
      </w:r>
      <w:r w:rsidR="00B33149" w:rsidRPr="003F39E9">
        <w:t xml:space="preserve">Components of the </w:t>
      </w:r>
      <w:r w:rsidR="00A2348B" w:rsidRPr="003F39E9">
        <w:t>International Classification of Function</w:t>
      </w:r>
      <w:r w:rsidR="00EA47A2" w:rsidRPr="003F39E9">
        <w:t>ing</w:t>
      </w:r>
      <w:r w:rsidR="00A2348B" w:rsidRPr="003F39E9">
        <w:t>, Disability</w:t>
      </w:r>
      <w:r w:rsidR="009B275C" w:rsidRPr="003F39E9">
        <w:t>,</w:t>
      </w:r>
      <w:r w:rsidR="00A2348B" w:rsidRPr="003F39E9">
        <w:t xml:space="preserve"> and Health </w:t>
      </w:r>
      <w:r w:rsidR="004E4F7B" w:rsidRPr="003F39E9">
        <w:t>framework</w:t>
      </w:r>
      <w:bookmarkEnd w:id="151"/>
    </w:p>
    <w:p w14:paraId="2192F541" w14:textId="1F36D762" w:rsidR="00B01A21" w:rsidRDefault="00B01A21" w:rsidP="00B01A21">
      <w:r>
        <w:rPr>
          <w:noProof/>
        </w:rPr>
        <w:drawing>
          <wp:inline distT="0" distB="0" distL="0" distR="0" wp14:anchorId="1051215A" wp14:editId="13792CE0">
            <wp:extent cx="6106795" cy="2472690"/>
            <wp:effectExtent l="0" t="0" r="8255" b="3810"/>
            <wp:docPr id="973970522" name="Picture 97397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06795" cy="2472690"/>
                    </a:xfrm>
                    <a:prstGeom prst="rect">
                      <a:avLst/>
                    </a:prstGeom>
                    <a:noFill/>
                    <a:ln>
                      <a:noFill/>
                    </a:ln>
                  </pic:spPr>
                </pic:pic>
              </a:graphicData>
            </a:graphic>
          </wp:inline>
        </w:drawing>
      </w:r>
    </w:p>
    <w:p w14:paraId="0AF23B65" w14:textId="47A60466" w:rsidR="00CD70D7" w:rsidRDefault="00B01A21" w:rsidP="00B01A21">
      <w:pPr>
        <w:rPr>
          <w:rFonts w:cstheme="minorHAnsi"/>
          <w:color w:val="000000"/>
          <w:shd w:val="clear" w:color="auto" w:fill="FFFFFF"/>
        </w:rPr>
      </w:pPr>
      <w:r w:rsidRPr="006014F0">
        <w:rPr>
          <w:rFonts w:cstheme="minorHAnsi"/>
          <w:color w:val="000000"/>
          <w:shd w:val="clear" w:color="auto" w:fill="FFFFFF"/>
        </w:rPr>
        <w:t xml:space="preserve">The high-level definition and conceptual framework for understanding disability influence the way in which disabled people are </w:t>
      </w:r>
      <w:r>
        <w:rPr>
          <w:rFonts w:cstheme="minorHAnsi"/>
          <w:color w:val="000000"/>
          <w:shd w:val="clear" w:color="auto" w:fill="FFFFFF"/>
        </w:rPr>
        <w:t>counted</w:t>
      </w:r>
      <w:r w:rsidRPr="006014F0">
        <w:rPr>
          <w:rFonts w:cstheme="minorHAnsi"/>
          <w:color w:val="000000"/>
          <w:shd w:val="clear" w:color="auto" w:fill="FFFFFF"/>
        </w:rPr>
        <w:t xml:space="preserve"> in a data collection. However, choices must still be made </w:t>
      </w:r>
      <w:r w:rsidRPr="006014F0" w:rsidDel="009420AD">
        <w:rPr>
          <w:rFonts w:cstheme="minorHAnsi"/>
          <w:color w:val="000000"/>
          <w:shd w:val="clear" w:color="auto" w:fill="FFFFFF"/>
        </w:rPr>
        <w:t xml:space="preserve">about </w:t>
      </w:r>
      <w:r w:rsidRPr="006014F0">
        <w:rPr>
          <w:rFonts w:cstheme="minorHAnsi"/>
          <w:color w:val="000000"/>
          <w:shd w:val="clear" w:color="auto" w:fill="FFFFFF"/>
        </w:rPr>
        <w:t xml:space="preserve">the specific questions to be used. </w:t>
      </w:r>
    </w:p>
    <w:p w14:paraId="311A3B0C" w14:textId="40EEB87E" w:rsidR="00B01A21" w:rsidRPr="006014F0" w:rsidRDefault="1E11FB38" w:rsidP="3524BD2A">
      <w:pPr>
        <w:rPr>
          <w:rFonts w:cstheme="minorBidi"/>
          <w:color w:val="000000"/>
          <w:shd w:val="clear" w:color="auto" w:fill="FFFFFF"/>
        </w:rPr>
      </w:pPr>
      <w:r w:rsidRPr="3524BD2A">
        <w:rPr>
          <w:rFonts w:cstheme="minorBidi"/>
          <w:color w:val="000000" w:themeColor="text1"/>
        </w:rPr>
        <w:t>In surveys that identify disabled people</w:t>
      </w:r>
      <w:r w:rsidR="1C6C102C" w:rsidRPr="3524BD2A">
        <w:rPr>
          <w:rFonts w:cstheme="minorBidi"/>
          <w:color w:val="000000" w:themeColor="text1"/>
        </w:rPr>
        <w:t>,</w:t>
      </w:r>
      <w:r w:rsidRPr="3524BD2A">
        <w:rPr>
          <w:rFonts w:cstheme="minorBidi"/>
          <w:color w:val="000000" w:themeColor="text1"/>
        </w:rPr>
        <w:t xml:space="preserve"> the responses provided to a particular set of questions are used to distinguish between disabled and non-disabled people in that survey. These are referred to in the HDS as </w:t>
      </w:r>
      <w:r w:rsidR="2D0113CB" w:rsidRPr="3524BD2A">
        <w:rPr>
          <w:rFonts w:cstheme="minorBidi"/>
          <w:color w:val="000000" w:themeColor="text1"/>
        </w:rPr>
        <w:t>‘</w:t>
      </w:r>
      <w:r w:rsidRPr="3524BD2A">
        <w:rPr>
          <w:rFonts w:cstheme="minorBidi"/>
          <w:color w:val="000000" w:themeColor="text1"/>
        </w:rPr>
        <w:t xml:space="preserve">screening </w:t>
      </w:r>
      <w:proofErr w:type="gramStart"/>
      <w:r w:rsidRPr="3524BD2A">
        <w:rPr>
          <w:rFonts w:cstheme="minorBidi"/>
          <w:color w:val="000000" w:themeColor="text1"/>
        </w:rPr>
        <w:t>questions</w:t>
      </w:r>
      <w:r w:rsidR="2D0113CB" w:rsidRPr="3524BD2A">
        <w:rPr>
          <w:rFonts w:cstheme="minorBidi"/>
          <w:color w:val="000000" w:themeColor="text1"/>
        </w:rPr>
        <w:t>’</w:t>
      </w:r>
      <w:proofErr w:type="gramEnd"/>
      <w:r w:rsidR="72CE9EFC" w:rsidRPr="3524BD2A">
        <w:rPr>
          <w:rFonts w:cstheme="minorBidi"/>
          <w:color w:val="000000" w:themeColor="text1"/>
        </w:rPr>
        <w:t>.</w:t>
      </w:r>
      <w:r w:rsidRPr="3524BD2A">
        <w:rPr>
          <w:rFonts w:cstheme="minorBidi"/>
          <w:color w:val="000000" w:themeColor="text1"/>
        </w:rPr>
        <w:t xml:space="preserve"> </w:t>
      </w:r>
    </w:p>
    <w:p w14:paraId="44584244" w14:textId="1D206658" w:rsidR="00B01A21" w:rsidRDefault="00AE10A5" w:rsidP="00B01A21">
      <w:pPr>
        <w:rPr>
          <w:rFonts w:cstheme="minorHAnsi"/>
          <w:color w:val="000000"/>
          <w:shd w:val="clear" w:color="auto" w:fill="FFFFFF"/>
        </w:rPr>
      </w:pPr>
      <w:r>
        <w:rPr>
          <w:rFonts w:cstheme="minorHAnsi"/>
          <w:color w:val="000000"/>
          <w:shd w:val="clear" w:color="auto" w:fill="FFFFFF"/>
        </w:rPr>
        <w:t>T</w:t>
      </w:r>
      <w:r w:rsidRPr="006014F0">
        <w:rPr>
          <w:rFonts w:cstheme="minorHAnsi"/>
          <w:color w:val="000000"/>
          <w:shd w:val="clear" w:color="auto" w:fill="FFFFFF"/>
        </w:rPr>
        <w:t xml:space="preserve">he 2023 HDS </w:t>
      </w:r>
      <w:r w:rsidR="00B01A21" w:rsidRPr="006014F0" w:rsidDel="00FD7825">
        <w:rPr>
          <w:rFonts w:cstheme="minorHAnsi"/>
          <w:color w:val="000000"/>
          <w:shd w:val="clear" w:color="auto" w:fill="FFFFFF"/>
        </w:rPr>
        <w:t>s</w:t>
      </w:r>
      <w:r w:rsidR="00B01A21" w:rsidRPr="006014F0">
        <w:rPr>
          <w:rFonts w:cstheme="minorHAnsi"/>
          <w:color w:val="000000"/>
          <w:shd w:val="clear" w:color="auto" w:fill="FFFFFF"/>
        </w:rPr>
        <w:t xml:space="preserve">creening questions were based on </w:t>
      </w:r>
      <w:r w:rsidR="000700A9">
        <w:rPr>
          <w:rFonts w:cstheme="minorHAnsi"/>
          <w:color w:val="000000"/>
          <w:shd w:val="clear" w:color="auto" w:fill="FFFFFF"/>
        </w:rPr>
        <w:t>question sets</w:t>
      </w:r>
      <w:r w:rsidR="00B01A21" w:rsidRPr="006014F0">
        <w:rPr>
          <w:rFonts w:cstheme="minorHAnsi"/>
          <w:color w:val="000000"/>
          <w:shd w:val="clear" w:color="auto" w:fill="FFFFFF"/>
        </w:rPr>
        <w:t xml:space="preserve"> developed by the Washington Group on Disability Statistics (WG)</w:t>
      </w:r>
      <w:r w:rsidR="008C7D52">
        <w:rPr>
          <w:rFonts w:cstheme="minorHAnsi"/>
          <w:color w:val="000000"/>
          <w:shd w:val="clear" w:color="auto" w:fill="FFFFFF"/>
        </w:rPr>
        <w:t xml:space="preserve"> – </w:t>
      </w:r>
      <w:r w:rsidR="006019CD">
        <w:rPr>
          <w:rFonts w:cstheme="minorHAnsi"/>
          <w:color w:val="000000"/>
          <w:shd w:val="clear" w:color="auto" w:fill="FFFFFF"/>
        </w:rPr>
        <w:t xml:space="preserve">the </w:t>
      </w:r>
      <w:hyperlink r:id="rId39" w:history="1">
        <w:r w:rsidR="008C7D52">
          <w:rPr>
            <w:rStyle w:val="Hyperlink"/>
            <w:rFonts w:ascii="Calibri" w:hAnsi="Calibri" w:cstheme="minorHAnsi"/>
            <w:shd w:val="clear" w:color="auto" w:fill="FFFFFF"/>
          </w:rPr>
          <w:t xml:space="preserve">WG </w:t>
        </w:r>
        <w:r w:rsidR="008F1A84">
          <w:rPr>
            <w:rStyle w:val="Hyperlink"/>
            <w:rFonts w:ascii="Calibri" w:hAnsi="Calibri" w:cstheme="minorHAnsi"/>
            <w:shd w:val="clear" w:color="auto" w:fill="FFFFFF"/>
          </w:rPr>
          <w:t>E</w:t>
        </w:r>
        <w:r w:rsidR="001B510F">
          <w:rPr>
            <w:rStyle w:val="Hyperlink"/>
            <w:rFonts w:ascii="Calibri" w:hAnsi="Calibri" w:cstheme="minorHAnsi"/>
            <w:shd w:val="clear" w:color="auto" w:fill="FFFFFF"/>
          </w:rPr>
          <w:t xml:space="preserve">xtended </w:t>
        </w:r>
        <w:r w:rsidR="001B510F" w:rsidDel="00E47C9B">
          <w:rPr>
            <w:rStyle w:val="Hyperlink"/>
            <w:rFonts w:ascii="Calibri" w:hAnsi="Calibri" w:cstheme="minorHAnsi"/>
            <w:shd w:val="clear" w:color="auto" w:fill="FFFFFF"/>
          </w:rPr>
          <w:t>S</w:t>
        </w:r>
        <w:r w:rsidR="001B510F">
          <w:rPr>
            <w:rStyle w:val="Hyperlink"/>
            <w:rFonts w:ascii="Calibri" w:hAnsi="Calibri" w:cstheme="minorHAnsi"/>
            <w:shd w:val="clear" w:color="auto" w:fill="FFFFFF"/>
          </w:rPr>
          <w:t xml:space="preserve">et on </w:t>
        </w:r>
        <w:r w:rsidR="001B510F" w:rsidDel="00E47C9B">
          <w:rPr>
            <w:rStyle w:val="Hyperlink"/>
            <w:rFonts w:ascii="Calibri" w:hAnsi="Calibri" w:cstheme="minorHAnsi"/>
            <w:shd w:val="clear" w:color="auto" w:fill="FFFFFF"/>
          </w:rPr>
          <w:t>F</w:t>
        </w:r>
        <w:r w:rsidR="001B510F">
          <w:rPr>
            <w:rStyle w:val="Hyperlink"/>
            <w:rFonts w:ascii="Calibri" w:hAnsi="Calibri" w:cstheme="minorHAnsi"/>
            <w:shd w:val="clear" w:color="auto" w:fill="FFFFFF"/>
          </w:rPr>
          <w:t>unctioning</w:t>
        </w:r>
      </w:hyperlink>
      <w:r w:rsidR="001B510F">
        <w:rPr>
          <w:rFonts w:cstheme="minorHAnsi"/>
          <w:color w:val="000000"/>
          <w:shd w:val="clear" w:color="auto" w:fill="FFFFFF"/>
        </w:rPr>
        <w:t xml:space="preserve"> for adults</w:t>
      </w:r>
      <w:r w:rsidR="000700A9">
        <w:rPr>
          <w:rFonts w:cstheme="minorHAnsi"/>
          <w:color w:val="000000"/>
          <w:shd w:val="clear" w:color="auto" w:fill="FFFFFF"/>
        </w:rPr>
        <w:t>,</w:t>
      </w:r>
      <w:r w:rsidR="001B510F">
        <w:rPr>
          <w:rFonts w:cstheme="minorHAnsi"/>
          <w:color w:val="000000"/>
          <w:shd w:val="clear" w:color="auto" w:fill="FFFFFF"/>
        </w:rPr>
        <w:t xml:space="preserve"> and the </w:t>
      </w:r>
      <w:hyperlink r:id="rId40" w:history="1">
        <w:r w:rsidR="000700A9">
          <w:rPr>
            <w:rStyle w:val="Hyperlink"/>
            <w:rFonts w:ascii="Calibri" w:hAnsi="Calibri" w:cstheme="minorHAnsi"/>
            <w:shd w:val="clear" w:color="auto" w:fill="FFFFFF"/>
          </w:rPr>
          <w:t>Child Functioning Module</w:t>
        </w:r>
      </w:hyperlink>
      <w:r w:rsidR="000700A9">
        <w:rPr>
          <w:rFonts w:cstheme="minorHAnsi"/>
          <w:color w:val="000000"/>
          <w:shd w:val="clear" w:color="auto" w:fill="FFFFFF"/>
        </w:rPr>
        <w:t xml:space="preserve"> for children</w:t>
      </w:r>
      <w:r w:rsidR="00B01A21" w:rsidRPr="006014F0">
        <w:rPr>
          <w:rFonts w:cstheme="minorHAnsi"/>
          <w:color w:val="000000"/>
          <w:shd w:val="clear" w:color="auto" w:fill="FFFFFF"/>
        </w:rPr>
        <w:t xml:space="preserve">. The WG questions were amended and supplemented by Stats NZ to </w:t>
      </w:r>
      <w:r w:rsidR="00B01A21">
        <w:rPr>
          <w:rFonts w:cstheme="minorHAnsi"/>
          <w:color w:val="000000"/>
          <w:shd w:val="clear" w:color="auto" w:fill="FFFFFF"/>
        </w:rPr>
        <w:t xml:space="preserve">address concerns raised by </w:t>
      </w:r>
      <w:r w:rsidR="00B01A21" w:rsidRPr="006014F0">
        <w:rPr>
          <w:rFonts w:cstheme="minorHAnsi"/>
          <w:color w:val="000000"/>
          <w:shd w:val="clear" w:color="auto" w:fill="FFFFFF"/>
        </w:rPr>
        <w:t xml:space="preserve">HDS users </w:t>
      </w:r>
      <w:r w:rsidR="00B01A21">
        <w:rPr>
          <w:rFonts w:cstheme="minorHAnsi"/>
          <w:color w:val="000000"/>
          <w:shd w:val="clear" w:color="auto" w:fill="FFFFFF"/>
        </w:rPr>
        <w:t xml:space="preserve">in the consultation phase </w:t>
      </w:r>
      <w:r w:rsidR="00B01A21" w:rsidRPr="006014F0">
        <w:rPr>
          <w:rFonts w:cstheme="minorHAnsi"/>
          <w:color w:val="000000"/>
          <w:shd w:val="clear" w:color="auto" w:fill="FFFFFF"/>
        </w:rPr>
        <w:t xml:space="preserve">and to reduce potential misunderstanding </w:t>
      </w:r>
      <w:r w:rsidR="009D3BC6">
        <w:rPr>
          <w:rFonts w:cstheme="minorHAnsi"/>
          <w:color w:val="000000"/>
          <w:shd w:val="clear" w:color="auto" w:fill="FFFFFF"/>
        </w:rPr>
        <w:t>by</w:t>
      </w:r>
      <w:r w:rsidR="009D3BC6" w:rsidRPr="006014F0">
        <w:rPr>
          <w:rFonts w:cstheme="minorHAnsi"/>
          <w:color w:val="000000"/>
          <w:shd w:val="clear" w:color="auto" w:fill="FFFFFF"/>
        </w:rPr>
        <w:t xml:space="preserve"> </w:t>
      </w:r>
      <w:r w:rsidR="00B01A21" w:rsidRPr="006014F0">
        <w:rPr>
          <w:rFonts w:cstheme="minorHAnsi"/>
          <w:color w:val="000000"/>
          <w:shd w:val="clear" w:color="auto" w:fill="FFFFFF"/>
        </w:rPr>
        <w:t xml:space="preserve">survey respondents or interviewers. </w:t>
      </w:r>
    </w:p>
    <w:p w14:paraId="1740D9CE" w14:textId="0F5D5C89" w:rsidR="00593748" w:rsidRPr="00956B3E" w:rsidRDefault="00B01A21" w:rsidP="00B01A21">
      <w:pPr>
        <w:rPr>
          <w:rFonts w:cstheme="minorHAnsi"/>
          <w:color w:val="000000"/>
          <w:shd w:val="clear" w:color="auto" w:fill="FFFFFF"/>
        </w:rPr>
      </w:pPr>
      <w:r w:rsidRPr="006014F0">
        <w:rPr>
          <w:rFonts w:cstheme="minorHAnsi"/>
          <w:color w:val="000000"/>
          <w:shd w:val="clear" w:color="auto" w:fill="FFFFFF"/>
        </w:rPr>
        <w:t xml:space="preserve">The WG questions focus on </w:t>
      </w:r>
      <w:r w:rsidR="007566FC">
        <w:rPr>
          <w:rFonts w:cstheme="minorHAnsi"/>
          <w:color w:val="000000"/>
          <w:shd w:val="clear" w:color="auto" w:fill="FFFFFF"/>
        </w:rPr>
        <w:t>difficulties</w:t>
      </w:r>
      <w:r w:rsidR="00A32F66">
        <w:rPr>
          <w:rFonts w:cstheme="minorHAnsi"/>
          <w:color w:val="000000"/>
          <w:shd w:val="clear" w:color="auto" w:fill="FFFFFF"/>
        </w:rPr>
        <w:t xml:space="preserve"> with</w:t>
      </w:r>
      <w:r w:rsidRPr="006014F0">
        <w:rPr>
          <w:rFonts w:cstheme="minorHAnsi"/>
          <w:color w:val="000000"/>
          <w:shd w:val="clear" w:color="auto" w:fill="FFFFFF"/>
        </w:rPr>
        <w:t xml:space="preserve"> function</w:t>
      </w:r>
      <w:r w:rsidR="00A32F66">
        <w:rPr>
          <w:rFonts w:cstheme="minorHAnsi"/>
          <w:color w:val="000000"/>
          <w:shd w:val="clear" w:color="auto" w:fill="FFFFFF"/>
        </w:rPr>
        <w:t>ing</w:t>
      </w:r>
      <w:r w:rsidRPr="006014F0">
        <w:rPr>
          <w:rFonts w:cstheme="minorHAnsi"/>
          <w:color w:val="000000"/>
          <w:shd w:val="clear" w:color="auto" w:fill="FFFFFF"/>
        </w:rPr>
        <w:t xml:space="preserve">. </w:t>
      </w:r>
      <w:r w:rsidRPr="006014F0" w:rsidDel="00E81362">
        <w:rPr>
          <w:rFonts w:cstheme="minorHAnsi"/>
          <w:color w:val="000000"/>
          <w:shd w:val="clear" w:color="auto" w:fill="FFFFFF"/>
        </w:rPr>
        <w:t>It is t</w:t>
      </w:r>
      <w:r w:rsidRPr="006014F0">
        <w:rPr>
          <w:rFonts w:cstheme="minorHAnsi"/>
          <w:color w:val="000000"/>
          <w:shd w:val="clear" w:color="auto" w:fill="FFFFFF"/>
        </w:rPr>
        <w:t>his dimension of the ICF</w:t>
      </w:r>
      <w:r w:rsidRPr="006014F0" w:rsidDel="00E81362">
        <w:rPr>
          <w:rFonts w:cstheme="minorHAnsi"/>
          <w:color w:val="000000"/>
          <w:shd w:val="clear" w:color="auto" w:fill="FFFFFF"/>
        </w:rPr>
        <w:t xml:space="preserve"> that</w:t>
      </w:r>
      <w:r w:rsidRPr="006014F0">
        <w:rPr>
          <w:rFonts w:cstheme="minorHAnsi"/>
          <w:color w:val="000000"/>
          <w:shd w:val="clear" w:color="auto" w:fill="FFFFFF"/>
        </w:rPr>
        <w:t xml:space="preserve"> is self-assessed by respondents in the screening questions and their answers </w:t>
      </w:r>
      <w:r>
        <w:rPr>
          <w:rFonts w:cstheme="minorHAnsi"/>
          <w:color w:val="000000"/>
          <w:shd w:val="clear" w:color="auto" w:fill="FFFFFF"/>
        </w:rPr>
        <w:t xml:space="preserve">are </w:t>
      </w:r>
      <w:r w:rsidRPr="006014F0">
        <w:rPr>
          <w:rFonts w:cstheme="minorHAnsi"/>
          <w:color w:val="000000"/>
          <w:shd w:val="clear" w:color="auto" w:fill="FFFFFF"/>
        </w:rPr>
        <w:t>used to assign disability status.</w:t>
      </w:r>
      <w:r w:rsidR="00727D38">
        <w:rPr>
          <w:rFonts w:cstheme="minorHAnsi"/>
          <w:color w:val="000000"/>
          <w:shd w:val="clear" w:color="auto" w:fill="FFFFFF"/>
        </w:rPr>
        <w:t xml:space="preserve"> </w:t>
      </w:r>
      <w:r>
        <w:t xml:space="preserve">Statistics about functional difficulty in a population are important </w:t>
      </w:r>
      <w:r w:rsidR="009E5002">
        <w:t xml:space="preserve">for </w:t>
      </w:r>
      <w:r>
        <w:t>understanding the needs of that population.</w:t>
      </w:r>
      <w:r w:rsidR="00A02E1C">
        <w:t xml:space="preserve"> </w:t>
      </w:r>
    </w:p>
    <w:p w14:paraId="095DB7CB" w14:textId="1060D924" w:rsidR="00B01A21" w:rsidRPr="005500CD" w:rsidRDefault="00B01A21" w:rsidP="00B01A21">
      <w:pPr>
        <w:rPr>
          <w:rFonts w:cstheme="minorHAnsi"/>
          <w:color w:val="000000"/>
          <w:shd w:val="clear" w:color="auto" w:fill="FFFFFF"/>
        </w:rPr>
      </w:pPr>
      <w:r>
        <w:t xml:space="preserve">Other dimensions of the ICF </w:t>
      </w:r>
      <w:r w:rsidR="002376E3">
        <w:t xml:space="preserve">were </w:t>
      </w:r>
      <w:r>
        <w:t>captured in the survey</w:t>
      </w:r>
      <w:r w:rsidR="00D37673">
        <w:t xml:space="preserve"> but </w:t>
      </w:r>
      <w:r w:rsidR="002376E3">
        <w:t xml:space="preserve">were </w:t>
      </w:r>
      <w:r w:rsidR="00D37673">
        <w:t xml:space="preserve">not screening questions, so they </w:t>
      </w:r>
      <w:r w:rsidR="002376E3">
        <w:t xml:space="preserve">were </w:t>
      </w:r>
      <w:r w:rsidR="00D37673">
        <w:t>not used to assign disability status</w:t>
      </w:r>
      <w:r>
        <w:t>.</w:t>
      </w:r>
      <w:r w:rsidR="00A02E1C">
        <w:t xml:space="preserve"> </w:t>
      </w:r>
      <w:r>
        <w:t>These include</w:t>
      </w:r>
      <w:r w:rsidR="002376E3">
        <w:t>d</w:t>
      </w:r>
      <w:r>
        <w:t xml:space="preserve"> personal and environment</w:t>
      </w:r>
      <w:r w:rsidR="00593748">
        <w:t>al</w:t>
      </w:r>
      <w:r>
        <w:t xml:space="preserve"> factors as well as selected activities and participation in different life situations</w:t>
      </w:r>
      <w:r w:rsidR="006D177B">
        <w:t>.</w:t>
      </w:r>
      <w:r>
        <w:t xml:space="preserve"> </w:t>
      </w:r>
    </w:p>
    <w:p w14:paraId="6B609C78" w14:textId="440A083A" w:rsidR="00B01A21" w:rsidRDefault="00B01A21" w:rsidP="00B01A21">
      <w:pPr>
        <w:rPr>
          <w:rFonts w:cstheme="minorHAnsi"/>
          <w:color w:val="000000"/>
          <w:shd w:val="clear" w:color="auto" w:fill="FFFFFF"/>
        </w:rPr>
      </w:pPr>
      <w:r w:rsidRPr="006014F0">
        <w:rPr>
          <w:rFonts w:cstheme="minorHAnsi"/>
          <w:color w:val="000000"/>
          <w:shd w:val="clear" w:color="auto" w:fill="FFFFFF"/>
        </w:rPr>
        <w:t xml:space="preserve">An adult </w:t>
      </w:r>
      <w:r>
        <w:rPr>
          <w:rFonts w:cstheme="minorHAnsi"/>
          <w:color w:val="000000"/>
          <w:shd w:val="clear" w:color="auto" w:fill="FFFFFF"/>
        </w:rPr>
        <w:t>was</w:t>
      </w:r>
      <w:r w:rsidRPr="006014F0">
        <w:rPr>
          <w:rFonts w:cstheme="minorHAnsi"/>
          <w:color w:val="000000"/>
          <w:shd w:val="clear" w:color="auto" w:fill="FFFFFF"/>
        </w:rPr>
        <w:t xml:space="preserve"> counted as disabled in the HDS if they self-report</w:t>
      </w:r>
      <w:r>
        <w:rPr>
          <w:rFonts w:cstheme="minorHAnsi"/>
          <w:color w:val="000000"/>
          <w:shd w:val="clear" w:color="auto" w:fill="FFFFFF"/>
        </w:rPr>
        <w:t>ed</w:t>
      </w:r>
      <w:r w:rsidRPr="006014F0">
        <w:rPr>
          <w:rFonts w:cstheme="minorHAnsi"/>
          <w:color w:val="000000"/>
          <w:shd w:val="clear" w:color="auto" w:fill="FFFFFF"/>
        </w:rPr>
        <w:t xml:space="preserve"> long-term difficulty in at least one of the functional domains </w:t>
      </w:r>
      <w:r>
        <w:rPr>
          <w:rFonts w:cstheme="minorHAnsi"/>
          <w:color w:val="000000"/>
          <w:shd w:val="clear" w:color="auto" w:fill="FFFFFF"/>
        </w:rPr>
        <w:t>for adults.</w:t>
      </w:r>
      <w:r w:rsidR="00A02E1C">
        <w:rPr>
          <w:rFonts w:cstheme="minorHAnsi"/>
          <w:color w:val="000000"/>
          <w:shd w:val="clear" w:color="auto" w:fill="FFFFFF"/>
        </w:rPr>
        <w:t xml:space="preserve"> </w:t>
      </w:r>
      <w:r>
        <w:rPr>
          <w:rFonts w:cstheme="minorHAnsi"/>
          <w:color w:val="000000"/>
          <w:shd w:val="clear" w:color="auto" w:fill="FFFFFF"/>
        </w:rPr>
        <w:t>If they</w:t>
      </w:r>
      <w:r w:rsidDel="008E0E70">
        <w:rPr>
          <w:rFonts w:cstheme="minorHAnsi"/>
          <w:color w:val="000000"/>
          <w:shd w:val="clear" w:color="auto" w:fill="FFFFFF"/>
        </w:rPr>
        <w:t xml:space="preserve"> </w:t>
      </w:r>
      <w:r w:rsidR="008E0E70">
        <w:rPr>
          <w:rFonts w:cstheme="minorHAnsi"/>
          <w:color w:val="000000"/>
          <w:shd w:val="clear" w:color="auto" w:fill="FFFFFF"/>
        </w:rPr>
        <w:t xml:space="preserve">were </w:t>
      </w:r>
      <w:r>
        <w:rPr>
          <w:rFonts w:cstheme="minorHAnsi"/>
          <w:color w:val="000000"/>
          <w:shd w:val="clear" w:color="auto" w:fill="FFFFFF"/>
        </w:rPr>
        <w:t xml:space="preserve">unable to self-report during the period </w:t>
      </w:r>
      <w:r w:rsidDel="002C063C">
        <w:rPr>
          <w:rFonts w:cstheme="minorHAnsi"/>
          <w:color w:val="000000"/>
          <w:shd w:val="clear" w:color="auto" w:fill="FFFFFF"/>
        </w:rPr>
        <w:t xml:space="preserve">in which the survey was in the field </w:t>
      </w:r>
      <w:r>
        <w:rPr>
          <w:rFonts w:cstheme="minorHAnsi"/>
          <w:color w:val="000000"/>
          <w:shd w:val="clear" w:color="auto" w:fill="FFFFFF"/>
        </w:rPr>
        <w:t>because of health or disability issues, then a proxy interview was used</w:t>
      </w:r>
      <w:r w:rsidR="00AC3954">
        <w:rPr>
          <w:rFonts w:cstheme="minorHAnsi"/>
          <w:color w:val="000000"/>
          <w:shd w:val="clear" w:color="auto" w:fill="FFFFFF"/>
        </w:rPr>
        <w:t xml:space="preserve"> (</w:t>
      </w:r>
      <w:r w:rsidR="009F0044">
        <w:rPr>
          <w:rFonts w:cstheme="minorHAnsi"/>
          <w:color w:val="000000"/>
          <w:shd w:val="clear" w:color="auto" w:fill="FFFFFF"/>
        </w:rPr>
        <w:t>that is,</w:t>
      </w:r>
      <w:r w:rsidR="00AC3954">
        <w:rPr>
          <w:rFonts w:cstheme="minorHAnsi"/>
          <w:color w:val="000000"/>
          <w:shd w:val="clear" w:color="auto" w:fill="FFFFFF"/>
        </w:rPr>
        <w:t xml:space="preserve"> </w:t>
      </w:r>
      <w:r w:rsidR="00C62609">
        <w:rPr>
          <w:rFonts w:cstheme="minorHAnsi"/>
          <w:color w:val="000000"/>
          <w:shd w:val="clear" w:color="auto" w:fill="FFFFFF"/>
        </w:rPr>
        <w:t>someone else answer</w:t>
      </w:r>
      <w:r w:rsidR="005C5ED7">
        <w:rPr>
          <w:rFonts w:cstheme="minorHAnsi"/>
          <w:color w:val="000000"/>
          <w:shd w:val="clear" w:color="auto" w:fill="FFFFFF"/>
        </w:rPr>
        <w:t>ed</w:t>
      </w:r>
      <w:r w:rsidR="00C62609">
        <w:rPr>
          <w:rFonts w:cstheme="minorHAnsi"/>
          <w:color w:val="000000"/>
          <w:shd w:val="clear" w:color="auto" w:fill="FFFFFF"/>
        </w:rPr>
        <w:t xml:space="preserve"> the survey questionnaire on behalf of the respondent)</w:t>
      </w:r>
      <w:r>
        <w:rPr>
          <w:rFonts w:cstheme="minorHAnsi"/>
          <w:color w:val="000000"/>
          <w:shd w:val="clear" w:color="auto" w:fill="FFFFFF"/>
        </w:rPr>
        <w:t>.</w:t>
      </w:r>
      <w:r w:rsidR="00A02E1C">
        <w:rPr>
          <w:rFonts w:cstheme="minorHAnsi"/>
          <w:color w:val="000000"/>
          <w:shd w:val="clear" w:color="auto" w:fill="FFFFFF"/>
        </w:rPr>
        <w:t xml:space="preserve"> </w:t>
      </w:r>
    </w:p>
    <w:p w14:paraId="745F8A7F" w14:textId="7E906A50" w:rsidR="00B01A21" w:rsidRDefault="00B01A21" w:rsidP="00B01A21">
      <w:pPr>
        <w:rPr>
          <w:rFonts w:cstheme="minorHAnsi"/>
          <w:color w:val="000000"/>
          <w:shd w:val="clear" w:color="auto" w:fill="FFFFFF"/>
        </w:rPr>
      </w:pPr>
      <w:r w:rsidRPr="006014F0">
        <w:rPr>
          <w:rFonts w:cstheme="minorHAnsi"/>
          <w:color w:val="000000"/>
          <w:shd w:val="clear" w:color="auto" w:fill="FFFFFF"/>
        </w:rPr>
        <w:t xml:space="preserve">A child </w:t>
      </w:r>
      <w:r>
        <w:rPr>
          <w:rFonts w:cstheme="minorHAnsi"/>
          <w:color w:val="000000"/>
          <w:shd w:val="clear" w:color="auto" w:fill="FFFFFF"/>
        </w:rPr>
        <w:t>was</w:t>
      </w:r>
      <w:r w:rsidRPr="006014F0">
        <w:rPr>
          <w:rFonts w:cstheme="minorHAnsi"/>
          <w:color w:val="000000"/>
          <w:shd w:val="clear" w:color="auto" w:fill="FFFFFF"/>
        </w:rPr>
        <w:t xml:space="preserve"> counted as disabled </w:t>
      </w:r>
      <w:r>
        <w:rPr>
          <w:rFonts w:cstheme="minorHAnsi"/>
          <w:color w:val="000000"/>
          <w:shd w:val="clear" w:color="auto" w:fill="FFFFFF"/>
        </w:rPr>
        <w:t>i</w:t>
      </w:r>
      <w:r w:rsidRPr="006014F0">
        <w:rPr>
          <w:rFonts w:cstheme="minorHAnsi"/>
          <w:color w:val="000000"/>
          <w:shd w:val="clear" w:color="auto" w:fill="FFFFFF"/>
        </w:rPr>
        <w:t>f their carer</w:t>
      </w:r>
      <w:r>
        <w:rPr>
          <w:rFonts w:cstheme="minorHAnsi"/>
          <w:color w:val="000000"/>
          <w:shd w:val="clear" w:color="auto" w:fill="FFFFFF"/>
        </w:rPr>
        <w:t>,</w:t>
      </w:r>
      <w:r w:rsidRPr="006014F0">
        <w:rPr>
          <w:rFonts w:cstheme="minorHAnsi"/>
          <w:color w:val="000000"/>
          <w:shd w:val="clear" w:color="auto" w:fill="FFFFFF"/>
        </w:rPr>
        <w:t xml:space="preserve"> </w:t>
      </w:r>
      <w:r>
        <w:rPr>
          <w:rFonts w:cstheme="minorHAnsi"/>
          <w:color w:val="000000"/>
          <w:shd w:val="clear" w:color="auto" w:fill="FFFFFF"/>
        </w:rPr>
        <w:t xml:space="preserve">in a proxy interview, reported </w:t>
      </w:r>
      <w:r w:rsidRPr="006014F0">
        <w:rPr>
          <w:rFonts w:cstheme="minorHAnsi"/>
          <w:color w:val="000000"/>
          <w:shd w:val="clear" w:color="auto" w:fill="FFFFFF"/>
        </w:rPr>
        <w:t>long-term difficulty in at least one of the functional domains for the</w:t>
      </w:r>
      <w:r>
        <w:rPr>
          <w:rFonts w:cstheme="minorHAnsi"/>
          <w:color w:val="000000"/>
          <w:shd w:val="clear" w:color="auto" w:fill="FFFFFF"/>
        </w:rPr>
        <w:t xml:space="preserve"> child’s</w:t>
      </w:r>
      <w:r w:rsidRPr="006014F0">
        <w:rPr>
          <w:rFonts w:cstheme="minorHAnsi"/>
          <w:color w:val="000000"/>
          <w:shd w:val="clear" w:color="auto" w:fill="FFFFFF"/>
        </w:rPr>
        <w:t xml:space="preserve"> age</w:t>
      </w:r>
      <w:r w:rsidR="00BE3B0E">
        <w:rPr>
          <w:rFonts w:cstheme="minorHAnsi"/>
          <w:color w:val="000000"/>
          <w:shd w:val="clear" w:color="auto" w:fill="FFFFFF"/>
        </w:rPr>
        <w:t xml:space="preserve"> </w:t>
      </w:r>
      <w:r w:rsidRPr="006014F0">
        <w:rPr>
          <w:rFonts w:cstheme="minorHAnsi"/>
          <w:color w:val="000000"/>
          <w:shd w:val="clear" w:color="auto" w:fill="FFFFFF"/>
        </w:rPr>
        <w:t xml:space="preserve">group. </w:t>
      </w:r>
    </w:p>
    <w:p w14:paraId="0E29EBC5" w14:textId="73DF1912" w:rsidR="00661723" w:rsidRPr="006014F0" w:rsidRDefault="00A63902" w:rsidP="40044B1D">
      <w:pPr>
        <w:rPr>
          <w:rFonts w:cstheme="minorBidi"/>
          <w:color w:val="000000"/>
          <w:shd w:val="clear" w:color="auto" w:fill="FFFFFF"/>
        </w:rPr>
      </w:pPr>
      <w:r w:rsidRPr="40044B1D">
        <w:rPr>
          <w:rFonts w:cstheme="minorBidi"/>
          <w:color w:val="000000"/>
          <w:shd w:val="clear" w:color="auto" w:fill="FFFFFF"/>
        </w:rPr>
        <w:t xml:space="preserve">Stats NZ uses the term </w:t>
      </w:r>
      <w:r w:rsidRPr="40044B1D">
        <w:rPr>
          <w:rFonts w:eastAsia="Times New Roman" w:cstheme="minorBidi"/>
          <w:color w:val="000000"/>
          <w:lang w:eastAsia="en-NZ"/>
        </w:rPr>
        <w:t>‘disabled person’</w:t>
      </w:r>
      <w:r>
        <w:rPr>
          <w:rFonts w:cstheme="minorBidi"/>
          <w:color w:val="000000"/>
          <w:shd w:val="clear" w:color="auto" w:fill="FFFFFF"/>
        </w:rPr>
        <w:t xml:space="preserve"> i</w:t>
      </w:r>
      <w:r w:rsidR="00661723" w:rsidRPr="40044B1D">
        <w:rPr>
          <w:rFonts w:cstheme="minorBidi"/>
          <w:color w:val="000000"/>
          <w:shd w:val="clear" w:color="auto" w:fill="FFFFFF"/>
        </w:rPr>
        <w:t>n keeping with</w:t>
      </w:r>
      <w:r w:rsidR="00246930">
        <w:rPr>
          <w:rFonts w:cstheme="minorBidi"/>
          <w:color w:val="000000"/>
          <w:shd w:val="clear" w:color="auto" w:fill="FFFFFF"/>
        </w:rPr>
        <w:t xml:space="preserve"> </w:t>
      </w:r>
      <w:hyperlink r:id="rId41" w:history="1">
        <w:r w:rsidR="00246930" w:rsidRPr="00FD1B18">
          <w:rPr>
            <w:rStyle w:val="Hyperlink"/>
            <w:rFonts w:ascii="Calibri" w:hAnsi="Calibri"/>
          </w:rPr>
          <w:t>disability language</w:t>
        </w:r>
      </w:hyperlink>
      <w:r w:rsidR="00661723" w:rsidRPr="40044B1D">
        <w:rPr>
          <w:rFonts w:cstheme="minorBidi"/>
          <w:color w:val="000000"/>
          <w:shd w:val="clear" w:color="auto" w:fill="FFFFFF"/>
        </w:rPr>
        <w:t xml:space="preserve"> </w:t>
      </w:r>
      <w:r w:rsidR="00B9314F">
        <w:rPr>
          <w:rFonts w:cstheme="minorBidi"/>
          <w:color w:val="000000"/>
          <w:shd w:val="clear" w:color="auto" w:fill="FFFFFF"/>
        </w:rPr>
        <w:t>in the</w:t>
      </w:r>
      <w:r w:rsidR="00B9314F" w:rsidRPr="40044B1D">
        <w:rPr>
          <w:rFonts w:cstheme="minorBidi"/>
          <w:color w:val="000000"/>
          <w:shd w:val="clear" w:color="auto" w:fill="FFFFFF"/>
        </w:rPr>
        <w:t xml:space="preserve"> </w:t>
      </w:r>
      <w:r w:rsidR="00B9314F" w:rsidRPr="00AD4D3E">
        <w:t>New Zealand Disability Strategy</w:t>
      </w:r>
      <w:r w:rsidR="00661723" w:rsidRPr="40044B1D">
        <w:rPr>
          <w:rFonts w:eastAsia="Times New Roman" w:cstheme="minorBidi"/>
          <w:color w:val="000000"/>
          <w:lang w:eastAsia="en-NZ"/>
        </w:rPr>
        <w:t xml:space="preserve">. Other terms are used by many people and organisations. </w:t>
      </w:r>
      <w:r w:rsidR="00661723" w:rsidRPr="00740C6E">
        <w:rPr>
          <w:rFonts w:eastAsia="Times New Roman" w:cstheme="minorBidi"/>
          <w:color w:val="000000"/>
          <w:lang w:eastAsia="en-NZ"/>
        </w:rPr>
        <w:t>Their preference is acknowledged and fully respected.</w:t>
      </w:r>
      <w:r w:rsidR="0CD490D0" w:rsidRPr="40044B1D">
        <w:rPr>
          <w:rFonts w:eastAsia="Times New Roman" w:cstheme="minorBidi"/>
          <w:color w:val="000000"/>
          <w:lang w:eastAsia="en-NZ"/>
        </w:rPr>
        <w:t xml:space="preserve"> </w:t>
      </w:r>
    </w:p>
    <w:p w14:paraId="21E8E133" w14:textId="518B0286" w:rsidR="00C668D8" w:rsidRDefault="00C668D8" w:rsidP="00C668D8">
      <w:pPr>
        <w:pStyle w:val="Heading3"/>
      </w:pPr>
      <w:bookmarkStart w:id="152" w:name="_Toc187762890"/>
      <w:bookmarkStart w:id="153" w:name="_Toc187763851"/>
      <w:bookmarkStart w:id="154" w:name="_Toc190856854"/>
      <w:r>
        <w:t>6.1.1 Functional domains included in the 2023 HDS</w:t>
      </w:r>
      <w:bookmarkEnd w:id="152"/>
      <w:bookmarkEnd w:id="153"/>
      <w:bookmarkEnd w:id="154"/>
      <w:r w:rsidR="00A02E1C">
        <w:t xml:space="preserve"> </w:t>
      </w:r>
    </w:p>
    <w:p w14:paraId="7ECA9D24" w14:textId="3E6FDD2F" w:rsidR="00B12DBA" w:rsidRPr="00C563A4" w:rsidRDefault="5E1D0F47" w:rsidP="00B12DBA">
      <w:r w:rsidRPr="3524BD2A">
        <w:t>The decision about which domains of functioning to include in the questionnaire directly affects the size and composition of the disabled population identified in any survey.</w:t>
      </w:r>
    </w:p>
    <w:p w14:paraId="252B839A" w14:textId="69F5A555" w:rsidR="00BD751E" w:rsidRPr="0032294A" w:rsidRDefault="00BD751E" w:rsidP="00B12DBA">
      <w:pPr>
        <w:rPr>
          <w:rFonts w:cstheme="minorHAnsi"/>
          <w:color w:val="000000"/>
          <w:shd w:val="clear" w:color="auto" w:fill="FFFFFF"/>
        </w:rPr>
      </w:pPr>
      <w:r w:rsidRPr="6C7481EF">
        <w:rPr>
          <w:rFonts w:cstheme="minorBidi"/>
          <w:color w:val="000000" w:themeColor="text1"/>
        </w:rPr>
        <w:t>In the 2023 HDS, we included the following domains of functioning:</w:t>
      </w:r>
    </w:p>
    <w:p w14:paraId="632CE02B" w14:textId="2391648F" w:rsidR="00B12DBA" w:rsidRPr="0040305A" w:rsidRDefault="00B12DBA" w:rsidP="0032294A">
      <w:pPr>
        <w:pStyle w:val="ListParagraph"/>
        <w:numPr>
          <w:ilvl w:val="0"/>
          <w:numId w:val="34"/>
        </w:numPr>
        <w:rPr>
          <w:rFonts w:cstheme="minorHAnsi"/>
          <w:color w:val="000000"/>
          <w:shd w:val="clear" w:color="auto" w:fill="FFFFFF"/>
        </w:rPr>
      </w:pPr>
      <w:r w:rsidRPr="0032294A">
        <w:rPr>
          <w:rFonts w:cstheme="minorHAnsi"/>
          <w:color w:val="000000"/>
          <w:shd w:val="clear" w:color="auto" w:fill="FFFFFF"/>
        </w:rPr>
        <w:t>For adults</w:t>
      </w:r>
      <w:r w:rsidRPr="0040305A">
        <w:rPr>
          <w:rFonts w:cstheme="minorHAnsi"/>
          <w:color w:val="000000"/>
          <w:shd w:val="clear" w:color="auto" w:fill="FFFFFF"/>
        </w:rPr>
        <w:t xml:space="preserve"> there were 14 domains: seeing, hearing, walking, flexibility/dexterity, personal care, communication, concentrating, remembering, learning, intellectual function, mental health, socialising, pain, and fatigue. </w:t>
      </w:r>
    </w:p>
    <w:p w14:paraId="4BA0C29D" w14:textId="1BCB8576" w:rsidR="00B12DBA" w:rsidRPr="00EE5203" w:rsidRDefault="00B12DBA" w:rsidP="0032294A">
      <w:pPr>
        <w:pStyle w:val="ListParagraph"/>
        <w:numPr>
          <w:ilvl w:val="0"/>
          <w:numId w:val="34"/>
        </w:numPr>
        <w:rPr>
          <w:rFonts w:cstheme="minorHAnsi"/>
          <w:shd w:val="clear" w:color="auto" w:fill="FFFFFF"/>
        </w:rPr>
      </w:pPr>
      <w:r w:rsidRPr="0040305A">
        <w:rPr>
          <w:rFonts w:cstheme="minorHAnsi"/>
          <w:shd w:val="clear" w:color="auto" w:fill="FFFFFF"/>
        </w:rPr>
        <w:t>For children aged 5 to 14 years</w:t>
      </w:r>
      <w:r w:rsidRPr="00EE5203">
        <w:rPr>
          <w:rFonts w:cstheme="minorHAnsi"/>
          <w:shd w:val="clear" w:color="auto" w:fill="FFFFFF"/>
        </w:rPr>
        <w:t xml:space="preserve"> there were 14 domains: </w:t>
      </w:r>
      <w:r w:rsidRPr="0040305A">
        <w:rPr>
          <w:rFonts w:cstheme="minorHAnsi"/>
          <w:color w:val="000000"/>
          <w:shd w:val="clear" w:color="auto" w:fill="FFFFFF"/>
        </w:rPr>
        <w:t>seeing, hearing, walking, flexibility/dexterity, personal care, communication, concentrating, remembering, learning, intellectual function, mental health,</w:t>
      </w:r>
      <w:r w:rsidRPr="00EE5203">
        <w:rPr>
          <w:rFonts w:cstheme="minorHAnsi"/>
          <w:shd w:val="clear" w:color="auto" w:fill="FFFFFF"/>
        </w:rPr>
        <w:t xml:space="preserve"> making friends, accepting change to routine, and controlling own behaviour. </w:t>
      </w:r>
    </w:p>
    <w:p w14:paraId="7156D793" w14:textId="4A74BD0F" w:rsidR="00B12DBA" w:rsidRPr="00EE5203" w:rsidRDefault="00B12DBA" w:rsidP="0032294A">
      <w:pPr>
        <w:pStyle w:val="ListParagraph"/>
        <w:numPr>
          <w:ilvl w:val="0"/>
          <w:numId w:val="34"/>
        </w:numPr>
        <w:rPr>
          <w:rFonts w:cstheme="minorHAnsi"/>
          <w:shd w:val="clear" w:color="auto" w:fill="FFFFFF"/>
        </w:rPr>
      </w:pPr>
      <w:r w:rsidRPr="0040305A">
        <w:rPr>
          <w:rFonts w:cstheme="minorHAnsi"/>
          <w:shd w:val="clear" w:color="auto" w:fill="FFFFFF"/>
        </w:rPr>
        <w:t xml:space="preserve">For children aged 2 to 4 years </w:t>
      </w:r>
      <w:r w:rsidRPr="00EE5203">
        <w:rPr>
          <w:rFonts w:cstheme="minorHAnsi"/>
          <w:shd w:val="clear" w:color="auto" w:fill="FFFFFF"/>
        </w:rPr>
        <w:t xml:space="preserve">there were </w:t>
      </w:r>
      <w:r w:rsidR="004A04D2">
        <w:rPr>
          <w:rFonts w:cstheme="minorHAnsi"/>
          <w:shd w:val="clear" w:color="auto" w:fill="FFFFFF"/>
        </w:rPr>
        <w:t>nine</w:t>
      </w:r>
      <w:r w:rsidRPr="00EE5203">
        <w:rPr>
          <w:rFonts w:cstheme="minorHAnsi"/>
          <w:shd w:val="clear" w:color="auto" w:fill="FFFFFF"/>
        </w:rPr>
        <w:t xml:space="preserve"> domains: seeing, hearing, walking, flexibility/dexterity, communication, learning, controlling own behaviour, developmental delay, and playing.</w:t>
      </w:r>
    </w:p>
    <w:p w14:paraId="4A0129BF" w14:textId="544210A6" w:rsidR="00B12DBA" w:rsidRPr="00EE5203" w:rsidRDefault="00B12DBA" w:rsidP="0032294A">
      <w:pPr>
        <w:pStyle w:val="ListParagraph"/>
        <w:numPr>
          <w:ilvl w:val="0"/>
          <w:numId w:val="34"/>
        </w:numPr>
        <w:rPr>
          <w:rFonts w:cstheme="minorHAnsi"/>
          <w:shd w:val="clear" w:color="auto" w:fill="FFFFFF"/>
        </w:rPr>
      </w:pPr>
      <w:r w:rsidRPr="0040305A">
        <w:rPr>
          <w:rFonts w:cstheme="minorHAnsi"/>
          <w:shd w:val="clear" w:color="auto" w:fill="FFFFFF"/>
        </w:rPr>
        <w:t>For children aged 3 months to 1 year</w:t>
      </w:r>
      <w:r w:rsidRPr="00EE5203">
        <w:rPr>
          <w:rFonts w:cstheme="minorHAnsi"/>
          <w:shd w:val="clear" w:color="auto" w:fill="FFFFFF"/>
        </w:rPr>
        <w:t xml:space="preserve"> there were </w:t>
      </w:r>
      <w:r w:rsidR="004A04D2">
        <w:rPr>
          <w:rFonts w:cstheme="minorHAnsi"/>
          <w:shd w:val="clear" w:color="auto" w:fill="FFFFFF"/>
        </w:rPr>
        <w:t>five</w:t>
      </w:r>
      <w:r w:rsidRPr="00EE5203">
        <w:rPr>
          <w:rFonts w:cstheme="minorHAnsi"/>
          <w:shd w:val="clear" w:color="auto" w:fill="FFFFFF"/>
        </w:rPr>
        <w:t xml:space="preserve"> domains: seeing, hearing, flexibility, developmental delay, and playing.</w:t>
      </w:r>
    </w:p>
    <w:p w14:paraId="29AB717C" w14:textId="731690D0" w:rsidR="00B12DBA" w:rsidRPr="00BD751E" w:rsidRDefault="00B12DBA" w:rsidP="0032294A">
      <w:pPr>
        <w:pStyle w:val="ListParagraph"/>
        <w:numPr>
          <w:ilvl w:val="0"/>
          <w:numId w:val="34"/>
        </w:numPr>
        <w:rPr>
          <w:rFonts w:cstheme="minorHAnsi"/>
          <w:shd w:val="clear" w:color="auto" w:fill="FFFFFF"/>
        </w:rPr>
      </w:pPr>
      <w:r w:rsidRPr="0040305A">
        <w:rPr>
          <w:rFonts w:cstheme="minorHAnsi"/>
          <w:shd w:val="clear" w:color="auto" w:fill="FFFFFF"/>
        </w:rPr>
        <w:t>For children under 3 months</w:t>
      </w:r>
      <w:r w:rsidRPr="00EE5203">
        <w:rPr>
          <w:rFonts w:cstheme="minorHAnsi"/>
          <w:shd w:val="clear" w:color="auto" w:fill="FFFFFF"/>
        </w:rPr>
        <w:t xml:space="preserve"> there </w:t>
      </w:r>
      <w:r w:rsidRPr="00BD751E">
        <w:rPr>
          <w:rFonts w:cstheme="minorHAnsi"/>
          <w:shd w:val="clear" w:color="auto" w:fill="FFFFFF"/>
        </w:rPr>
        <w:t xml:space="preserve">were </w:t>
      </w:r>
      <w:r w:rsidR="004A04D2">
        <w:rPr>
          <w:rFonts w:cstheme="minorHAnsi"/>
          <w:shd w:val="clear" w:color="auto" w:fill="FFFFFF"/>
        </w:rPr>
        <w:t>four</w:t>
      </w:r>
      <w:r w:rsidRPr="00BD751E">
        <w:rPr>
          <w:rFonts w:cstheme="minorHAnsi"/>
          <w:shd w:val="clear" w:color="auto" w:fill="FFFFFF"/>
        </w:rPr>
        <w:t xml:space="preserve"> domains: seeing, hearing, flexibility, and developmental delay.</w:t>
      </w:r>
    </w:p>
    <w:p w14:paraId="2469E222" w14:textId="58615936" w:rsidR="00B12DBA" w:rsidRDefault="00B12DBA" w:rsidP="00B12DBA">
      <w:pPr>
        <w:rPr>
          <w:rFonts w:cstheme="minorHAnsi"/>
          <w:shd w:val="clear" w:color="auto" w:fill="FFFFFF"/>
        </w:rPr>
      </w:pPr>
      <w:r>
        <w:rPr>
          <w:rFonts w:cstheme="minorHAnsi"/>
          <w:shd w:val="clear" w:color="auto" w:fill="FFFFFF"/>
        </w:rPr>
        <w:t>Most of these domains were developed by the Washington Group on Disability Statistics. After consultation</w:t>
      </w:r>
      <w:r w:rsidR="00B32339">
        <w:rPr>
          <w:rFonts w:cstheme="minorHAnsi"/>
          <w:shd w:val="clear" w:color="auto" w:fill="FFFFFF"/>
        </w:rPr>
        <w:t>,</w:t>
      </w:r>
      <w:r>
        <w:rPr>
          <w:rFonts w:cstheme="minorHAnsi"/>
          <w:shd w:val="clear" w:color="auto" w:fill="FFFFFF"/>
        </w:rPr>
        <w:t xml:space="preserve"> Stats NZ added questions: </w:t>
      </w:r>
    </w:p>
    <w:p w14:paraId="0D1508E6" w14:textId="7CCD3129" w:rsidR="00B12DBA" w:rsidRDefault="5E1D0F47" w:rsidP="3524BD2A">
      <w:pPr>
        <w:pStyle w:val="ListParagraph"/>
        <w:numPr>
          <w:ilvl w:val="0"/>
          <w:numId w:val="28"/>
        </w:numPr>
        <w:spacing w:after="160" w:line="259" w:lineRule="auto"/>
        <w:rPr>
          <w:rFonts w:cstheme="minorBidi"/>
          <w:shd w:val="clear" w:color="auto" w:fill="FFFFFF"/>
        </w:rPr>
      </w:pPr>
      <w:r w:rsidRPr="3524BD2A">
        <w:rPr>
          <w:rFonts w:cstheme="minorBidi"/>
          <w:shd w:val="clear" w:color="auto" w:fill="FFFFFF"/>
        </w:rPr>
        <w:t>For adults, questions on intellectual function, learning, and socialising were added, as well as additional questions on mental health (other than anxiety/depression).</w:t>
      </w:r>
    </w:p>
    <w:p w14:paraId="7B030B29" w14:textId="2F741233" w:rsidR="00B12DBA" w:rsidRDefault="00B12DBA" w:rsidP="00B12DBA">
      <w:pPr>
        <w:pStyle w:val="ListParagraph"/>
        <w:numPr>
          <w:ilvl w:val="0"/>
          <w:numId w:val="28"/>
        </w:numPr>
        <w:spacing w:after="160" w:line="259" w:lineRule="auto"/>
        <w:rPr>
          <w:rFonts w:cstheme="minorHAnsi"/>
          <w:shd w:val="clear" w:color="auto" w:fill="FFFFFF"/>
        </w:rPr>
      </w:pPr>
      <w:r w:rsidRPr="00150ECC">
        <w:rPr>
          <w:rFonts w:cstheme="minorHAnsi"/>
          <w:shd w:val="clear" w:color="auto" w:fill="FFFFFF"/>
        </w:rPr>
        <w:t>For children aged 5 to 14</w:t>
      </w:r>
      <w:r w:rsidR="0077749C">
        <w:rPr>
          <w:rFonts w:cstheme="minorHAnsi"/>
          <w:shd w:val="clear" w:color="auto" w:fill="FFFFFF"/>
        </w:rPr>
        <w:t xml:space="preserve"> years</w:t>
      </w:r>
      <w:r w:rsidRPr="00150ECC">
        <w:rPr>
          <w:rFonts w:cstheme="minorHAnsi"/>
          <w:shd w:val="clear" w:color="auto" w:fill="FFFFFF"/>
        </w:rPr>
        <w:t>, questions on intellectual function and flexibility/dexterity were added.</w:t>
      </w:r>
    </w:p>
    <w:p w14:paraId="3ED01928" w14:textId="57A43E44" w:rsidR="00B12DBA" w:rsidRDefault="5E1D0F47" w:rsidP="3524BD2A">
      <w:pPr>
        <w:pStyle w:val="ListParagraph"/>
        <w:numPr>
          <w:ilvl w:val="0"/>
          <w:numId w:val="28"/>
        </w:numPr>
        <w:spacing w:after="160" w:line="259" w:lineRule="auto"/>
        <w:rPr>
          <w:rFonts w:cstheme="minorBidi"/>
          <w:shd w:val="clear" w:color="auto" w:fill="FFFFFF"/>
        </w:rPr>
      </w:pPr>
      <w:r w:rsidRPr="3524BD2A">
        <w:rPr>
          <w:rFonts w:cstheme="minorBidi"/>
          <w:shd w:val="clear" w:color="auto" w:fill="FFFFFF"/>
        </w:rPr>
        <w:t>For children aged 2 to 4</w:t>
      </w:r>
      <w:r w:rsidR="10F3EC6E" w:rsidRPr="3524BD2A">
        <w:rPr>
          <w:rFonts w:cstheme="minorBidi"/>
          <w:shd w:val="clear" w:color="auto" w:fill="FFFFFF"/>
        </w:rPr>
        <w:t xml:space="preserve"> years</w:t>
      </w:r>
      <w:r w:rsidRPr="3524BD2A">
        <w:rPr>
          <w:rFonts w:cstheme="minorBidi"/>
          <w:shd w:val="clear" w:color="auto" w:fill="FFFFFF"/>
        </w:rPr>
        <w:t>, a question on developmental delay</w:t>
      </w:r>
      <w:r w:rsidRPr="3524BD2A" w:rsidDel="003A75FB">
        <w:rPr>
          <w:rFonts w:cstheme="minorBidi"/>
          <w:shd w:val="clear" w:color="auto" w:fill="FFFFFF"/>
        </w:rPr>
        <w:t xml:space="preserve"> </w:t>
      </w:r>
      <w:r w:rsidRPr="3524BD2A">
        <w:rPr>
          <w:rFonts w:cstheme="minorBidi"/>
          <w:shd w:val="clear" w:color="auto" w:fill="FFFFFF"/>
        </w:rPr>
        <w:t xml:space="preserve">and additional questions on flexibility/dexterity. </w:t>
      </w:r>
    </w:p>
    <w:p w14:paraId="5061F7B6" w14:textId="5FEFCB14" w:rsidR="00B12DBA" w:rsidRPr="00706BD6" w:rsidRDefault="5E1D0F47" w:rsidP="3524BD2A">
      <w:pPr>
        <w:pStyle w:val="ListParagraph"/>
        <w:numPr>
          <w:ilvl w:val="0"/>
          <w:numId w:val="28"/>
        </w:numPr>
        <w:spacing w:after="160" w:line="259" w:lineRule="auto"/>
        <w:rPr>
          <w:rFonts w:cstheme="minorBidi"/>
          <w:shd w:val="clear" w:color="auto" w:fill="FFFFFF"/>
        </w:rPr>
      </w:pPr>
      <w:r w:rsidRPr="3524BD2A">
        <w:rPr>
          <w:rFonts w:cstheme="minorBidi"/>
          <w:shd w:val="clear" w:color="auto" w:fill="FFFFFF"/>
        </w:rPr>
        <w:t>For children aged below 2</w:t>
      </w:r>
      <w:r w:rsidR="10F3EC6E" w:rsidRPr="3524BD2A">
        <w:rPr>
          <w:rFonts w:cstheme="minorBidi"/>
          <w:shd w:val="clear" w:color="auto" w:fill="FFFFFF"/>
        </w:rPr>
        <w:t xml:space="preserve"> years</w:t>
      </w:r>
      <w:r w:rsidRPr="3524BD2A">
        <w:rPr>
          <w:rFonts w:cstheme="minorBidi"/>
          <w:shd w:val="clear" w:color="auto" w:fill="FFFFFF"/>
        </w:rPr>
        <w:t>, the WG does not have questions. In response to user interest</w:t>
      </w:r>
      <w:r w:rsidR="6F855222" w:rsidRPr="3524BD2A">
        <w:rPr>
          <w:rFonts w:cstheme="minorBidi"/>
          <w:shd w:val="clear" w:color="auto" w:fill="FFFFFF"/>
        </w:rPr>
        <w:t>,</w:t>
      </w:r>
      <w:r w:rsidRPr="3524BD2A">
        <w:rPr>
          <w:rFonts w:cstheme="minorBidi"/>
          <w:shd w:val="clear" w:color="auto" w:fill="FFFFFF"/>
        </w:rPr>
        <w:t xml:space="preserve"> some were added for this age group</w:t>
      </w:r>
      <w:r w:rsidRPr="3524BD2A" w:rsidDel="008F4D60">
        <w:rPr>
          <w:rFonts w:cstheme="minorBidi"/>
          <w:shd w:val="clear" w:color="auto" w:fill="FFFFFF"/>
        </w:rPr>
        <w:t>. It is acknowledged that</w:t>
      </w:r>
      <w:r w:rsidR="601A6CC2" w:rsidRPr="3524BD2A">
        <w:rPr>
          <w:rFonts w:cstheme="minorBidi"/>
          <w:shd w:val="clear" w:color="auto" w:fill="FFFFFF"/>
        </w:rPr>
        <w:t xml:space="preserve"> </w:t>
      </w:r>
      <w:r w:rsidRPr="3524BD2A" w:rsidDel="008F4D60">
        <w:rPr>
          <w:rFonts w:cstheme="minorBidi"/>
          <w:shd w:val="clear" w:color="auto" w:fill="FFFFFF"/>
        </w:rPr>
        <w:t xml:space="preserve">in this age group </w:t>
      </w:r>
      <w:r w:rsidRPr="3524BD2A">
        <w:rPr>
          <w:rFonts w:cstheme="minorBidi"/>
          <w:shd w:val="clear" w:color="auto" w:fill="FFFFFF"/>
        </w:rPr>
        <w:t>it is hard to determine if difficulties are simply due to variations in infant development.</w:t>
      </w:r>
    </w:p>
    <w:p w14:paraId="72F74FA7" w14:textId="28B5E1DE" w:rsidR="00C35379" w:rsidRDefault="00C35379" w:rsidP="00C35379">
      <w:pPr>
        <w:pStyle w:val="Heading3"/>
      </w:pPr>
      <w:bookmarkStart w:id="155" w:name="_Toc187762891"/>
      <w:bookmarkStart w:id="156" w:name="_Toc187763852"/>
      <w:bookmarkStart w:id="157" w:name="_Toc190856855"/>
      <w:r>
        <w:t>6.1.</w:t>
      </w:r>
      <w:r w:rsidR="00800D3F">
        <w:t>2</w:t>
      </w:r>
      <w:r>
        <w:t xml:space="preserve"> </w:t>
      </w:r>
      <w:r w:rsidR="00800D3F">
        <w:t>The threshold for counting a person as disabled</w:t>
      </w:r>
      <w:bookmarkEnd w:id="155"/>
      <w:bookmarkEnd w:id="156"/>
      <w:bookmarkEnd w:id="157"/>
      <w:r w:rsidR="00800D3F">
        <w:t xml:space="preserve"> </w:t>
      </w:r>
    </w:p>
    <w:p w14:paraId="770A8F6B" w14:textId="0AC56E9A" w:rsidR="00260D1E" w:rsidRPr="00C563A4" w:rsidRDefault="00260D1E" w:rsidP="00260D1E">
      <w:r w:rsidDel="00BF38CF">
        <w:t>T</w:t>
      </w:r>
      <w:r>
        <w:t>o create a binary variable like disability status</w:t>
      </w:r>
      <w:r w:rsidDel="000F3FAD">
        <w:t>,</w:t>
      </w:r>
      <w:r w:rsidDel="00BF38CF">
        <w:t xml:space="preserve"> a threshold must be set</w:t>
      </w:r>
      <w:r>
        <w:t>.</w:t>
      </w:r>
      <w:r w:rsidR="00A02E1C">
        <w:t xml:space="preserve"> </w:t>
      </w:r>
      <w:r>
        <w:t>The threshold defines the boundary between disabled and non-disabled people.</w:t>
      </w:r>
      <w:r w:rsidR="00A02E1C">
        <w:t xml:space="preserve"> </w:t>
      </w:r>
      <w:r w:rsidDel="00C838CA">
        <w:t xml:space="preserve">The decision about </w:t>
      </w:r>
      <w:r>
        <w:t xml:space="preserve">where </w:t>
      </w:r>
      <w:r w:rsidDel="00741D99">
        <w:t xml:space="preserve">to set </w:t>
      </w:r>
      <w:r>
        <w:t>this threshold</w:t>
      </w:r>
      <w:r w:rsidR="00741D99">
        <w:t xml:space="preserve"> </w:t>
      </w:r>
      <w:r>
        <w:t>in each functional domain directly affects the size and composition of the disabled population.</w:t>
      </w:r>
    </w:p>
    <w:p w14:paraId="5D5A694A" w14:textId="120B7923" w:rsidR="00830181" w:rsidRDefault="00260D1E" w:rsidP="00260D1E">
      <w:pPr>
        <w:rPr>
          <w:rFonts w:cstheme="minorBidi"/>
          <w:color w:val="000000"/>
          <w:shd w:val="clear" w:color="auto" w:fill="FFFFFF"/>
        </w:rPr>
      </w:pPr>
      <w:r w:rsidRPr="7606D47A">
        <w:rPr>
          <w:rFonts w:cstheme="minorBidi"/>
          <w:color w:val="000000"/>
          <w:shd w:val="clear" w:color="auto" w:fill="FFFFFF"/>
        </w:rPr>
        <w:t>In some questions</w:t>
      </w:r>
      <w:r w:rsidR="00B03053">
        <w:rPr>
          <w:rFonts w:cstheme="minorBidi"/>
          <w:color w:val="000000"/>
          <w:shd w:val="clear" w:color="auto" w:fill="FFFFFF"/>
        </w:rPr>
        <w:t xml:space="preserve"> in the 2023 HDS</w:t>
      </w:r>
      <w:r w:rsidR="00B00837" w:rsidRPr="7606D47A">
        <w:rPr>
          <w:rFonts w:cstheme="minorBidi"/>
          <w:color w:val="000000"/>
          <w:shd w:val="clear" w:color="auto" w:fill="FFFFFF"/>
        </w:rPr>
        <w:t>,</w:t>
      </w:r>
      <w:r w:rsidRPr="7606D47A">
        <w:rPr>
          <w:rFonts w:cstheme="minorBidi"/>
          <w:color w:val="000000"/>
          <w:shd w:val="clear" w:color="auto" w:fill="FFFFFF"/>
        </w:rPr>
        <w:t xml:space="preserve"> answer options were scaled in </w:t>
      </w:r>
      <w:r w:rsidR="00F630F5" w:rsidRPr="7606D47A">
        <w:rPr>
          <w:rFonts w:cstheme="minorBidi"/>
          <w:color w:val="000000"/>
          <w:shd w:val="clear" w:color="auto" w:fill="FFFFFF"/>
        </w:rPr>
        <w:t>four</w:t>
      </w:r>
      <w:r w:rsidRPr="7606D47A">
        <w:rPr>
          <w:rFonts w:cstheme="minorBidi"/>
          <w:color w:val="000000"/>
          <w:shd w:val="clear" w:color="auto" w:fill="FFFFFF"/>
        </w:rPr>
        <w:t xml:space="preserve"> steps</w:t>
      </w:r>
      <w:r w:rsidRPr="7606D47A" w:rsidDel="001B0D0D">
        <w:rPr>
          <w:rFonts w:cstheme="minorBidi"/>
          <w:color w:val="000000"/>
          <w:shd w:val="clear" w:color="auto" w:fill="FFFFFF"/>
        </w:rPr>
        <w:t xml:space="preserve"> </w:t>
      </w:r>
      <w:r w:rsidR="006F31C7" w:rsidRPr="7606D47A">
        <w:rPr>
          <w:rFonts w:cstheme="minorBidi"/>
          <w:color w:val="000000"/>
          <w:shd w:val="clear" w:color="auto" w:fill="FFFFFF"/>
        </w:rPr>
        <w:t xml:space="preserve">– </w:t>
      </w:r>
      <w:r w:rsidRPr="7606D47A">
        <w:rPr>
          <w:rFonts w:cstheme="minorBidi"/>
          <w:color w:val="000000"/>
          <w:shd w:val="clear" w:color="auto" w:fill="FFFFFF"/>
        </w:rPr>
        <w:t>‘no difficulty’</w:t>
      </w:r>
      <w:r w:rsidR="00703864" w:rsidRPr="7606D47A">
        <w:rPr>
          <w:rFonts w:cstheme="minorBidi"/>
          <w:color w:val="000000"/>
          <w:shd w:val="clear" w:color="auto" w:fill="FFFFFF"/>
        </w:rPr>
        <w:t xml:space="preserve">, </w:t>
      </w:r>
      <w:r w:rsidRPr="7606D47A">
        <w:rPr>
          <w:rFonts w:cstheme="minorBidi"/>
          <w:color w:val="000000"/>
          <w:shd w:val="clear" w:color="auto" w:fill="FFFFFF"/>
        </w:rPr>
        <w:t>‘some difficulty’</w:t>
      </w:r>
      <w:r w:rsidR="00703864" w:rsidRPr="7606D47A">
        <w:rPr>
          <w:rFonts w:cstheme="minorBidi"/>
          <w:color w:val="000000"/>
          <w:shd w:val="clear" w:color="auto" w:fill="FFFFFF"/>
        </w:rPr>
        <w:t xml:space="preserve">, </w:t>
      </w:r>
      <w:r w:rsidRPr="7606D47A">
        <w:rPr>
          <w:rFonts w:cstheme="minorBidi"/>
          <w:color w:val="000000"/>
          <w:shd w:val="clear" w:color="auto" w:fill="FFFFFF"/>
        </w:rPr>
        <w:t>‘a lot of difficult</w:t>
      </w:r>
      <w:r w:rsidR="00703864" w:rsidRPr="7606D47A">
        <w:rPr>
          <w:rFonts w:cstheme="minorBidi"/>
          <w:color w:val="000000"/>
          <w:shd w:val="clear" w:color="auto" w:fill="FFFFFF"/>
        </w:rPr>
        <w:t>y</w:t>
      </w:r>
      <w:r w:rsidRPr="7606D47A">
        <w:rPr>
          <w:rFonts w:cstheme="minorBidi"/>
          <w:color w:val="000000"/>
          <w:shd w:val="clear" w:color="auto" w:fill="FFFFFF"/>
        </w:rPr>
        <w:t>’,</w:t>
      </w:r>
      <w:r w:rsidR="00B82E8F" w:rsidRPr="7606D47A">
        <w:rPr>
          <w:rFonts w:cstheme="minorBidi"/>
          <w:color w:val="000000"/>
          <w:shd w:val="clear" w:color="auto" w:fill="FFFFFF"/>
        </w:rPr>
        <w:t xml:space="preserve"> and</w:t>
      </w:r>
      <w:r w:rsidRPr="7606D47A" w:rsidDel="006F31C7">
        <w:rPr>
          <w:rFonts w:cstheme="minorBidi"/>
          <w:color w:val="000000"/>
          <w:shd w:val="clear" w:color="auto" w:fill="FFFFFF"/>
        </w:rPr>
        <w:t xml:space="preserve"> </w:t>
      </w:r>
      <w:r w:rsidRPr="7606D47A">
        <w:rPr>
          <w:rFonts w:cstheme="minorBidi"/>
          <w:color w:val="000000"/>
          <w:shd w:val="clear" w:color="auto" w:fill="FFFFFF"/>
        </w:rPr>
        <w:t>‘unable to do it at all’.</w:t>
      </w:r>
      <w:r w:rsidR="00A02E1C" w:rsidRPr="7606D47A">
        <w:rPr>
          <w:rFonts w:cstheme="minorBidi"/>
          <w:color w:val="000000"/>
          <w:shd w:val="clear" w:color="auto" w:fill="FFFFFF"/>
        </w:rPr>
        <w:t xml:space="preserve"> </w:t>
      </w:r>
      <w:r w:rsidRPr="7606D47A">
        <w:rPr>
          <w:rFonts w:cstheme="minorBidi"/>
          <w:color w:val="000000"/>
          <w:shd w:val="clear" w:color="auto" w:fill="FFFFFF"/>
        </w:rPr>
        <w:t xml:space="preserve">The amount of difficulty reported needed to be one of </w:t>
      </w:r>
      <w:r w:rsidR="00904EDC" w:rsidRPr="7606D47A">
        <w:rPr>
          <w:rFonts w:cstheme="minorBidi"/>
          <w:color w:val="000000"/>
          <w:shd w:val="clear" w:color="auto" w:fill="FFFFFF"/>
        </w:rPr>
        <w:t xml:space="preserve">the </w:t>
      </w:r>
      <w:r w:rsidRPr="7606D47A">
        <w:rPr>
          <w:rFonts w:cstheme="minorBidi"/>
          <w:color w:val="000000"/>
          <w:shd w:val="clear" w:color="auto" w:fill="FFFFFF"/>
        </w:rPr>
        <w:t xml:space="preserve">top </w:t>
      </w:r>
      <w:r w:rsidR="00904EDC" w:rsidRPr="7606D47A">
        <w:rPr>
          <w:rFonts w:cstheme="minorBidi"/>
          <w:color w:val="000000"/>
          <w:shd w:val="clear" w:color="auto" w:fill="FFFFFF"/>
        </w:rPr>
        <w:t>two</w:t>
      </w:r>
      <w:r w:rsidRPr="7606D47A">
        <w:rPr>
          <w:rFonts w:cstheme="minorBidi"/>
          <w:color w:val="000000"/>
          <w:shd w:val="clear" w:color="auto" w:fill="FFFFFF"/>
        </w:rPr>
        <w:t xml:space="preserve"> steps (either ‘a lot of difficulty’ or ‘unable to do it at all’) for a person to be counted as disabled.</w:t>
      </w:r>
      <w:r w:rsidR="00A02E1C" w:rsidRPr="7606D47A">
        <w:rPr>
          <w:rFonts w:cstheme="minorBidi"/>
          <w:color w:val="000000"/>
          <w:shd w:val="clear" w:color="auto" w:fill="FFFFFF"/>
        </w:rPr>
        <w:t xml:space="preserve"> </w:t>
      </w:r>
    </w:p>
    <w:p w14:paraId="6B2CF747" w14:textId="3B8C075A" w:rsidR="00260D1E" w:rsidRPr="006014F0" w:rsidRDefault="61BA3257" w:rsidP="3524BD2A">
      <w:pPr>
        <w:rPr>
          <w:rFonts w:cstheme="minorBidi"/>
          <w:color w:val="000000"/>
          <w:shd w:val="clear" w:color="auto" w:fill="FFFFFF"/>
        </w:rPr>
      </w:pPr>
      <w:r w:rsidRPr="3524BD2A">
        <w:rPr>
          <w:rFonts w:cstheme="minorBidi"/>
          <w:color w:val="000000"/>
          <w:shd w:val="clear" w:color="auto" w:fill="FFFFFF"/>
        </w:rPr>
        <w:t xml:space="preserve">Some domains </w:t>
      </w:r>
      <w:r w:rsidRPr="3524BD2A" w:rsidDel="00B961F2">
        <w:rPr>
          <w:rFonts w:cstheme="minorBidi"/>
          <w:color w:val="000000"/>
          <w:shd w:val="clear" w:color="auto" w:fill="FFFFFF"/>
        </w:rPr>
        <w:t xml:space="preserve">used </w:t>
      </w:r>
      <w:r w:rsidRPr="3524BD2A">
        <w:rPr>
          <w:rFonts w:cstheme="minorBidi"/>
          <w:color w:val="000000"/>
          <w:shd w:val="clear" w:color="auto" w:fill="FFFFFF"/>
        </w:rPr>
        <w:t>a different threshold</w:t>
      </w:r>
      <w:r w:rsidRPr="3524BD2A" w:rsidDel="00B961F2">
        <w:rPr>
          <w:rFonts w:cstheme="minorBidi"/>
          <w:color w:val="000000"/>
          <w:shd w:val="clear" w:color="auto" w:fill="FFFFFF"/>
        </w:rPr>
        <w:t xml:space="preserve"> because the function </w:t>
      </w:r>
      <w:r w:rsidRPr="3524BD2A" w:rsidDel="004C629C">
        <w:rPr>
          <w:rFonts w:cstheme="minorBidi"/>
          <w:color w:val="000000"/>
          <w:shd w:val="clear" w:color="auto" w:fill="FFFFFF"/>
        </w:rPr>
        <w:t xml:space="preserve">being measured </w:t>
      </w:r>
      <w:r w:rsidRPr="3524BD2A" w:rsidDel="00B961F2">
        <w:rPr>
          <w:rFonts w:cstheme="minorBidi"/>
          <w:color w:val="000000"/>
          <w:shd w:val="clear" w:color="auto" w:fill="FFFFFF"/>
        </w:rPr>
        <w:t xml:space="preserve">required </w:t>
      </w:r>
      <w:r w:rsidRPr="3524BD2A" w:rsidDel="004C629C">
        <w:rPr>
          <w:rFonts w:cstheme="minorBidi"/>
          <w:color w:val="000000"/>
          <w:shd w:val="clear" w:color="auto" w:fill="FFFFFF"/>
        </w:rPr>
        <w:t>this</w:t>
      </w:r>
      <w:r w:rsidRPr="3524BD2A">
        <w:rPr>
          <w:rFonts w:cstheme="minorBidi"/>
          <w:color w:val="000000"/>
          <w:shd w:val="clear" w:color="auto" w:fill="FFFFFF"/>
        </w:rPr>
        <w:t xml:space="preserve">: </w:t>
      </w:r>
    </w:p>
    <w:p w14:paraId="37173EED" w14:textId="2C0197E8" w:rsidR="00260D1E" w:rsidRPr="006014F0" w:rsidRDefault="61BA3257" w:rsidP="3524BD2A">
      <w:pPr>
        <w:pStyle w:val="ListParagraph"/>
        <w:numPr>
          <w:ilvl w:val="0"/>
          <w:numId w:val="12"/>
        </w:numPr>
        <w:spacing w:after="160" w:line="259" w:lineRule="auto"/>
        <w:rPr>
          <w:rFonts w:cstheme="minorBidi"/>
          <w:color w:val="000000"/>
          <w:shd w:val="clear" w:color="auto" w:fill="FFFFFF"/>
        </w:rPr>
      </w:pPr>
      <w:r w:rsidRPr="3524BD2A">
        <w:rPr>
          <w:rFonts w:cstheme="minorBidi"/>
          <w:color w:val="000000"/>
          <w:shd w:val="clear" w:color="auto" w:fill="FFFFFF"/>
        </w:rPr>
        <w:t xml:space="preserve">The </w:t>
      </w:r>
      <w:r w:rsidR="258BD933" w:rsidRPr="3524BD2A">
        <w:rPr>
          <w:rFonts w:cstheme="minorBidi"/>
          <w:color w:val="000000"/>
          <w:shd w:val="clear" w:color="auto" w:fill="FFFFFF"/>
        </w:rPr>
        <w:t>m</w:t>
      </w:r>
      <w:r w:rsidRPr="3524BD2A">
        <w:rPr>
          <w:rFonts w:cstheme="minorBidi"/>
          <w:color w:val="000000"/>
          <w:shd w:val="clear" w:color="auto" w:fill="FFFFFF"/>
        </w:rPr>
        <w:t xml:space="preserve">ental </w:t>
      </w:r>
      <w:r w:rsidR="258BD933" w:rsidRPr="3524BD2A">
        <w:rPr>
          <w:rFonts w:cstheme="minorBidi"/>
          <w:color w:val="000000"/>
          <w:shd w:val="clear" w:color="auto" w:fill="FFFFFF"/>
        </w:rPr>
        <w:t>h</w:t>
      </w:r>
      <w:r w:rsidRPr="3524BD2A">
        <w:rPr>
          <w:rFonts w:cstheme="minorBidi"/>
          <w:color w:val="000000"/>
          <w:shd w:val="clear" w:color="auto" w:fill="FFFFFF"/>
        </w:rPr>
        <w:t xml:space="preserve">ealth domain required </w:t>
      </w:r>
      <w:r w:rsidR="611317FB" w:rsidRPr="3524BD2A">
        <w:rPr>
          <w:rFonts w:cstheme="minorBidi"/>
          <w:color w:val="000000"/>
          <w:shd w:val="clear" w:color="auto" w:fill="FFFFFF"/>
        </w:rPr>
        <w:t>strong</w:t>
      </w:r>
      <w:bookmarkStart w:id="158" w:name="_Ref187842961"/>
      <w:r w:rsidR="00CD7405" w:rsidRPr="3524BD2A">
        <w:rPr>
          <w:rStyle w:val="FootnoteReference"/>
          <w:rFonts w:cstheme="minorBidi"/>
          <w:color w:val="000000"/>
          <w:shd w:val="clear" w:color="auto" w:fill="FFFFFF"/>
        </w:rPr>
        <w:footnoteReference w:id="7"/>
      </w:r>
      <w:bookmarkEnd w:id="158"/>
      <w:r w:rsidR="611317FB" w:rsidRPr="3524BD2A">
        <w:rPr>
          <w:rFonts w:cstheme="minorBidi"/>
          <w:color w:val="000000"/>
          <w:shd w:val="clear" w:color="auto" w:fill="FFFFFF"/>
        </w:rPr>
        <w:t xml:space="preserve"> </w:t>
      </w:r>
      <w:r w:rsidR="258BD933" w:rsidRPr="3524BD2A">
        <w:rPr>
          <w:rFonts w:cstheme="minorBidi"/>
          <w:color w:val="000000"/>
          <w:shd w:val="clear" w:color="auto" w:fill="FFFFFF"/>
        </w:rPr>
        <w:t>daily</w:t>
      </w:r>
      <w:r w:rsidRPr="3524BD2A">
        <w:rPr>
          <w:rFonts w:cstheme="minorBidi"/>
          <w:color w:val="000000"/>
          <w:shd w:val="clear" w:color="auto" w:fill="FFFFFF"/>
        </w:rPr>
        <w:t xml:space="preserve"> feelings of anxiety or depression</w:t>
      </w:r>
      <w:r w:rsidR="6F03875C" w:rsidRPr="3524BD2A">
        <w:rPr>
          <w:rFonts w:cstheme="minorBidi"/>
          <w:color w:val="000000"/>
          <w:shd w:val="clear" w:color="auto" w:fill="FFFFFF"/>
        </w:rPr>
        <w:t>.</w:t>
      </w:r>
      <w:r w:rsidRPr="3524BD2A">
        <w:rPr>
          <w:rFonts w:cstheme="minorBidi"/>
          <w:color w:val="000000"/>
          <w:shd w:val="clear" w:color="auto" w:fill="FFFFFF"/>
        </w:rPr>
        <w:t xml:space="preserve"> </w:t>
      </w:r>
    </w:p>
    <w:p w14:paraId="11D5E5BD" w14:textId="5852E62A" w:rsidR="00260D1E" w:rsidRPr="006014F0" w:rsidRDefault="61BA3257" w:rsidP="3524BD2A">
      <w:pPr>
        <w:pStyle w:val="ListParagraph"/>
        <w:numPr>
          <w:ilvl w:val="0"/>
          <w:numId w:val="12"/>
        </w:numPr>
        <w:spacing w:after="160" w:line="259" w:lineRule="auto"/>
        <w:rPr>
          <w:rFonts w:cstheme="minorBidi"/>
          <w:color w:val="000000"/>
          <w:shd w:val="clear" w:color="auto" w:fill="FFFFFF"/>
        </w:rPr>
      </w:pPr>
      <w:r w:rsidRPr="3524BD2A">
        <w:rPr>
          <w:rFonts w:cstheme="minorBidi"/>
          <w:color w:val="000000"/>
          <w:shd w:val="clear" w:color="auto" w:fill="FFFFFF"/>
        </w:rPr>
        <w:t xml:space="preserve">The </w:t>
      </w:r>
      <w:r w:rsidR="27A2F55B" w:rsidRPr="3524BD2A">
        <w:rPr>
          <w:rFonts w:cstheme="minorBidi"/>
          <w:color w:val="000000"/>
          <w:shd w:val="clear" w:color="auto" w:fill="FFFFFF"/>
        </w:rPr>
        <w:t>p</w:t>
      </w:r>
      <w:r w:rsidRPr="3524BD2A">
        <w:rPr>
          <w:rFonts w:cstheme="minorBidi"/>
          <w:color w:val="000000"/>
          <w:shd w:val="clear" w:color="auto" w:fill="FFFFFF"/>
        </w:rPr>
        <w:t>ain domain required</w:t>
      </w:r>
      <w:r w:rsidR="611317FB" w:rsidRPr="3524BD2A">
        <w:rPr>
          <w:rFonts w:cstheme="minorBidi"/>
          <w:color w:val="000000"/>
          <w:shd w:val="clear" w:color="auto" w:fill="FFFFFF"/>
        </w:rPr>
        <w:t xml:space="preserve"> strong</w:t>
      </w:r>
      <w:r w:rsidR="001705CA" w:rsidRPr="3524BD2A">
        <w:rPr>
          <w:rFonts w:cstheme="minorBidi"/>
          <w:color w:val="000000"/>
          <w:shd w:val="clear" w:color="auto" w:fill="FFFFFF"/>
        </w:rPr>
        <w:fldChar w:fldCharType="begin"/>
      </w:r>
      <w:r w:rsidR="001705CA" w:rsidRPr="3524BD2A">
        <w:rPr>
          <w:rFonts w:cstheme="minorBidi"/>
          <w:color w:val="000000"/>
          <w:shd w:val="clear" w:color="auto" w:fill="FFFFFF"/>
        </w:rPr>
        <w:instrText xml:space="preserve"> NOTEREF _Ref187842961 \f \h </w:instrText>
      </w:r>
      <w:r w:rsidR="001705CA" w:rsidRPr="3524BD2A">
        <w:rPr>
          <w:rFonts w:cstheme="minorBidi"/>
          <w:color w:val="000000"/>
          <w:shd w:val="clear" w:color="auto" w:fill="FFFFFF"/>
        </w:rPr>
      </w:r>
      <w:r w:rsidR="001705CA" w:rsidRPr="3524BD2A">
        <w:rPr>
          <w:rFonts w:cstheme="minorBidi"/>
          <w:color w:val="000000"/>
          <w:shd w:val="clear" w:color="auto" w:fill="FFFFFF"/>
        </w:rPr>
        <w:fldChar w:fldCharType="separate"/>
      </w:r>
      <w:r w:rsidR="00140BE8" w:rsidRPr="00140BE8">
        <w:rPr>
          <w:rStyle w:val="FootnoteReference"/>
        </w:rPr>
        <w:t>6</w:t>
      </w:r>
      <w:r w:rsidR="001705CA" w:rsidRPr="3524BD2A">
        <w:rPr>
          <w:rFonts w:cstheme="minorBidi"/>
          <w:color w:val="000000"/>
          <w:shd w:val="clear" w:color="auto" w:fill="FFFFFF"/>
        </w:rPr>
        <w:fldChar w:fldCharType="end"/>
      </w:r>
      <w:r w:rsidR="5C1D3020" w:rsidRPr="3524BD2A">
        <w:rPr>
          <w:rFonts w:cstheme="minorBidi"/>
          <w:color w:val="000000"/>
          <w:shd w:val="clear" w:color="auto" w:fill="FFFFFF"/>
        </w:rPr>
        <w:t xml:space="preserve"> f</w:t>
      </w:r>
      <w:r w:rsidRPr="3524BD2A">
        <w:rPr>
          <w:rFonts w:cstheme="minorBidi"/>
          <w:color w:val="000000"/>
          <w:shd w:val="clear" w:color="auto" w:fill="FFFFFF"/>
        </w:rPr>
        <w:t>eelings of pain most days or every day</w:t>
      </w:r>
      <w:r w:rsidR="68BA376F" w:rsidRPr="3524BD2A">
        <w:rPr>
          <w:rFonts w:cstheme="minorBidi"/>
          <w:color w:val="000000"/>
          <w:shd w:val="clear" w:color="auto" w:fill="FFFFFF"/>
        </w:rPr>
        <w:t>.</w:t>
      </w:r>
    </w:p>
    <w:p w14:paraId="55DB3CC1" w14:textId="71FF99E0" w:rsidR="00260D1E" w:rsidRPr="006014F0" w:rsidRDefault="61BA3257" w:rsidP="3524BD2A">
      <w:pPr>
        <w:pStyle w:val="ListParagraph"/>
        <w:numPr>
          <w:ilvl w:val="0"/>
          <w:numId w:val="12"/>
        </w:numPr>
        <w:spacing w:after="160" w:line="259" w:lineRule="auto"/>
        <w:rPr>
          <w:rFonts w:cstheme="minorBidi"/>
          <w:color w:val="000000"/>
          <w:shd w:val="clear" w:color="auto" w:fill="FFFFFF"/>
        </w:rPr>
      </w:pPr>
      <w:r w:rsidRPr="3524BD2A">
        <w:rPr>
          <w:rFonts w:cstheme="minorBidi"/>
          <w:color w:val="000000"/>
          <w:shd w:val="clear" w:color="auto" w:fill="FFFFFF"/>
        </w:rPr>
        <w:t xml:space="preserve">The </w:t>
      </w:r>
      <w:r w:rsidR="27A2F55B" w:rsidRPr="3524BD2A">
        <w:rPr>
          <w:rFonts w:cstheme="minorBidi"/>
          <w:color w:val="000000"/>
          <w:shd w:val="clear" w:color="auto" w:fill="FFFFFF"/>
        </w:rPr>
        <w:t>f</w:t>
      </w:r>
      <w:r w:rsidRPr="3524BD2A">
        <w:rPr>
          <w:rFonts w:cstheme="minorBidi"/>
          <w:color w:val="000000"/>
          <w:shd w:val="clear" w:color="auto" w:fill="FFFFFF"/>
        </w:rPr>
        <w:t xml:space="preserve">atigue domain required </w:t>
      </w:r>
      <w:r w:rsidR="611317FB" w:rsidRPr="3524BD2A">
        <w:rPr>
          <w:rFonts w:cstheme="minorBidi"/>
          <w:color w:val="000000"/>
          <w:shd w:val="clear" w:color="auto" w:fill="FFFFFF"/>
        </w:rPr>
        <w:t>strong</w:t>
      </w:r>
      <w:r w:rsidR="001705CA" w:rsidRPr="3524BD2A">
        <w:rPr>
          <w:rFonts w:cstheme="minorBidi"/>
          <w:color w:val="000000"/>
          <w:shd w:val="clear" w:color="auto" w:fill="FFFFFF"/>
        </w:rPr>
        <w:fldChar w:fldCharType="begin"/>
      </w:r>
      <w:r w:rsidR="001705CA" w:rsidRPr="3524BD2A">
        <w:rPr>
          <w:rFonts w:cstheme="minorBidi"/>
          <w:color w:val="000000"/>
          <w:shd w:val="clear" w:color="auto" w:fill="FFFFFF"/>
        </w:rPr>
        <w:instrText xml:space="preserve"> NOTEREF _Ref187842961 \f \h </w:instrText>
      </w:r>
      <w:r w:rsidR="001705CA" w:rsidRPr="3524BD2A">
        <w:rPr>
          <w:rFonts w:cstheme="minorBidi"/>
          <w:color w:val="000000"/>
          <w:shd w:val="clear" w:color="auto" w:fill="FFFFFF"/>
        </w:rPr>
      </w:r>
      <w:r w:rsidR="001705CA" w:rsidRPr="3524BD2A">
        <w:rPr>
          <w:rFonts w:cstheme="minorBidi"/>
          <w:color w:val="000000"/>
          <w:shd w:val="clear" w:color="auto" w:fill="FFFFFF"/>
        </w:rPr>
        <w:fldChar w:fldCharType="separate"/>
      </w:r>
      <w:r w:rsidR="00140BE8" w:rsidRPr="00140BE8">
        <w:rPr>
          <w:rStyle w:val="FootnoteReference"/>
        </w:rPr>
        <w:t>6</w:t>
      </w:r>
      <w:r w:rsidR="001705CA" w:rsidRPr="3524BD2A">
        <w:rPr>
          <w:rFonts w:cstheme="minorBidi"/>
          <w:color w:val="000000"/>
          <w:shd w:val="clear" w:color="auto" w:fill="FFFFFF"/>
        </w:rPr>
        <w:fldChar w:fldCharType="end"/>
      </w:r>
      <w:r w:rsidR="611317FB" w:rsidRPr="3524BD2A">
        <w:rPr>
          <w:rFonts w:cstheme="minorBidi"/>
          <w:color w:val="000000"/>
          <w:shd w:val="clear" w:color="auto" w:fill="FFFFFF"/>
        </w:rPr>
        <w:t xml:space="preserve"> </w:t>
      </w:r>
      <w:r w:rsidRPr="3524BD2A">
        <w:rPr>
          <w:rFonts w:cstheme="minorBidi"/>
          <w:color w:val="000000"/>
          <w:shd w:val="clear" w:color="auto" w:fill="FFFFFF"/>
        </w:rPr>
        <w:t>feelings of fatigue that lasted most of the day or the whole day and occurred most days or every day</w:t>
      </w:r>
      <w:r w:rsidR="68BA376F" w:rsidRPr="3524BD2A">
        <w:rPr>
          <w:rFonts w:cstheme="minorBidi"/>
          <w:color w:val="000000"/>
          <w:shd w:val="clear" w:color="auto" w:fill="FFFFFF"/>
        </w:rPr>
        <w:t>.</w:t>
      </w:r>
    </w:p>
    <w:p w14:paraId="56B6A1B0" w14:textId="34C53239" w:rsidR="00260D1E" w:rsidRPr="006014F0" w:rsidRDefault="00260D1E" w:rsidP="00260D1E">
      <w:pPr>
        <w:pStyle w:val="ListParagraph"/>
        <w:numPr>
          <w:ilvl w:val="0"/>
          <w:numId w:val="12"/>
        </w:numPr>
        <w:spacing w:after="160" w:line="259" w:lineRule="auto"/>
        <w:rPr>
          <w:rFonts w:cstheme="minorHAnsi"/>
          <w:color w:val="000000"/>
          <w:shd w:val="clear" w:color="auto" w:fill="FFFFFF"/>
        </w:rPr>
      </w:pPr>
      <w:r>
        <w:rPr>
          <w:rFonts w:cstheme="minorHAnsi"/>
          <w:color w:val="000000"/>
          <w:shd w:val="clear" w:color="auto" w:fill="FFFFFF"/>
        </w:rPr>
        <w:t>T</w:t>
      </w:r>
      <w:r w:rsidRPr="006014F0">
        <w:rPr>
          <w:rFonts w:cstheme="minorHAnsi"/>
          <w:color w:val="000000"/>
          <w:shd w:val="clear" w:color="auto" w:fill="FFFFFF"/>
        </w:rPr>
        <w:t xml:space="preserve">he </w:t>
      </w:r>
      <w:r w:rsidR="00261280">
        <w:rPr>
          <w:rFonts w:cstheme="minorHAnsi"/>
          <w:color w:val="000000"/>
          <w:shd w:val="clear" w:color="auto" w:fill="FFFFFF"/>
        </w:rPr>
        <w:t>i</w:t>
      </w:r>
      <w:r w:rsidRPr="006014F0">
        <w:rPr>
          <w:rFonts w:cstheme="minorHAnsi"/>
          <w:color w:val="000000"/>
          <w:shd w:val="clear" w:color="auto" w:fill="FFFFFF"/>
        </w:rPr>
        <w:t>ntellectual domain required a diagnosis of an intellectual disability</w:t>
      </w:r>
      <w:r>
        <w:rPr>
          <w:rFonts w:cstheme="minorHAnsi"/>
          <w:color w:val="000000"/>
          <w:shd w:val="clear" w:color="auto" w:fill="FFFFFF"/>
        </w:rPr>
        <w:t>.</w:t>
      </w:r>
    </w:p>
    <w:p w14:paraId="3765B428" w14:textId="7C4C09A4" w:rsidR="00260D1E" w:rsidRPr="006014F0" w:rsidRDefault="00260D1E" w:rsidP="00260D1E">
      <w:pPr>
        <w:pStyle w:val="ListParagraph"/>
        <w:numPr>
          <w:ilvl w:val="0"/>
          <w:numId w:val="12"/>
        </w:numPr>
        <w:spacing w:after="160" w:line="259" w:lineRule="auto"/>
        <w:rPr>
          <w:rFonts w:cstheme="minorHAnsi"/>
          <w:shd w:val="clear" w:color="auto" w:fill="FFFFFF"/>
        </w:rPr>
      </w:pPr>
      <w:r>
        <w:rPr>
          <w:rFonts w:cstheme="minorHAnsi"/>
          <w:color w:val="000000"/>
          <w:shd w:val="clear" w:color="auto" w:fill="FFFFFF"/>
        </w:rPr>
        <w:t>T</w:t>
      </w:r>
      <w:r w:rsidRPr="006014F0">
        <w:rPr>
          <w:rFonts w:cstheme="minorHAnsi"/>
          <w:color w:val="000000"/>
          <w:shd w:val="clear" w:color="auto" w:fill="FFFFFF"/>
        </w:rPr>
        <w:t xml:space="preserve">he </w:t>
      </w:r>
      <w:r w:rsidR="00261280">
        <w:rPr>
          <w:rFonts w:cstheme="minorHAnsi"/>
          <w:color w:val="000000"/>
          <w:shd w:val="clear" w:color="auto" w:fill="FFFFFF"/>
        </w:rPr>
        <w:t>d</w:t>
      </w:r>
      <w:r w:rsidRPr="006014F0">
        <w:rPr>
          <w:rFonts w:cstheme="minorHAnsi"/>
          <w:color w:val="000000"/>
          <w:shd w:val="clear" w:color="auto" w:fill="FFFFFF"/>
        </w:rPr>
        <w:t xml:space="preserve">evelopmental </w:t>
      </w:r>
      <w:r w:rsidR="00261280">
        <w:rPr>
          <w:rFonts w:cstheme="minorHAnsi"/>
          <w:color w:val="000000"/>
          <w:shd w:val="clear" w:color="auto" w:fill="FFFFFF"/>
        </w:rPr>
        <w:t>d</w:t>
      </w:r>
      <w:r w:rsidRPr="006014F0">
        <w:rPr>
          <w:rFonts w:cstheme="minorHAnsi"/>
          <w:color w:val="000000"/>
          <w:shd w:val="clear" w:color="auto" w:fill="FFFFFF"/>
        </w:rPr>
        <w:t>elay domain required a diagnosis of a condition that delays development</w:t>
      </w:r>
      <w:r>
        <w:rPr>
          <w:rFonts w:cstheme="minorHAnsi"/>
          <w:color w:val="000000"/>
          <w:shd w:val="clear" w:color="auto" w:fill="FFFFFF"/>
        </w:rPr>
        <w:t>.</w:t>
      </w:r>
    </w:p>
    <w:p w14:paraId="53BD267E" w14:textId="3EEB3F7A" w:rsidR="00260D1E" w:rsidRPr="00FB290C" w:rsidRDefault="00260D1E" w:rsidP="00260D1E">
      <w:pPr>
        <w:pStyle w:val="ListParagraph"/>
        <w:numPr>
          <w:ilvl w:val="0"/>
          <w:numId w:val="12"/>
        </w:numPr>
        <w:spacing w:after="160" w:line="259" w:lineRule="auto"/>
        <w:rPr>
          <w:rFonts w:cstheme="minorHAnsi"/>
          <w:shd w:val="clear" w:color="auto" w:fill="FFFFFF"/>
        </w:rPr>
      </w:pPr>
      <w:r>
        <w:rPr>
          <w:rFonts w:cstheme="minorHAnsi"/>
          <w:color w:val="000000"/>
          <w:shd w:val="clear" w:color="auto" w:fill="FFFFFF"/>
        </w:rPr>
        <w:t>T</w:t>
      </w:r>
      <w:r w:rsidRPr="006014F0">
        <w:rPr>
          <w:rFonts w:cstheme="minorHAnsi"/>
          <w:color w:val="000000"/>
          <w:shd w:val="clear" w:color="auto" w:fill="FFFFFF"/>
        </w:rPr>
        <w:t xml:space="preserve">he </w:t>
      </w:r>
      <w:r w:rsidR="00261280">
        <w:rPr>
          <w:rFonts w:cstheme="minorHAnsi"/>
          <w:color w:val="000000"/>
          <w:shd w:val="clear" w:color="auto" w:fill="FFFFFF"/>
        </w:rPr>
        <w:t>c</w:t>
      </w:r>
      <w:r w:rsidRPr="006014F0">
        <w:rPr>
          <w:rFonts w:cstheme="minorHAnsi"/>
          <w:color w:val="000000"/>
          <w:shd w:val="clear" w:color="auto" w:fill="FFFFFF"/>
        </w:rPr>
        <w:t xml:space="preserve">ontrolling </w:t>
      </w:r>
      <w:r>
        <w:rPr>
          <w:rFonts w:cstheme="minorHAnsi"/>
          <w:color w:val="000000"/>
          <w:shd w:val="clear" w:color="auto" w:fill="FFFFFF"/>
        </w:rPr>
        <w:t xml:space="preserve">own </w:t>
      </w:r>
      <w:r w:rsidR="00261280">
        <w:rPr>
          <w:rFonts w:cstheme="minorHAnsi"/>
          <w:color w:val="000000"/>
          <w:shd w:val="clear" w:color="auto" w:fill="FFFFFF"/>
        </w:rPr>
        <w:t>b</w:t>
      </w:r>
      <w:r w:rsidRPr="006014F0">
        <w:rPr>
          <w:rFonts w:cstheme="minorHAnsi"/>
          <w:color w:val="000000"/>
          <w:shd w:val="clear" w:color="auto" w:fill="FFFFFF"/>
        </w:rPr>
        <w:t>ehaviour domain for children 2</w:t>
      </w:r>
      <w:r w:rsidR="00513D63">
        <w:rPr>
          <w:rFonts w:cstheme="minorHAnsi"/>
          <w:color w:val="000000"/>
          <w:shd w:val="clear" w:color="auto" w:fill="FFFFFF"/>
        </w:rPr>
        <w:t xml:space="preserve"> to </w:t>
      </w:r>
      <w:r w:rsidRPr="006014F0">
        <w:rPr>
          <w:rFonts w:cstheme="minorHAnsi"/>
          <w:color w:val="000000"/>
          <w:shd w:val="clear" w:color="auto" w:fill="FFFFFF"/>
        </w:rPr>
        <w:t>4 years required that the child kick, bite</w:t>
      </w:r>
      <w:r w:rsidR="00513D63">
        <w:rPr>
          <w:rFonts w:cstheme="minorHAnsi"/>
          <w:color w:val="000000"/>
          <w:shd w:val="clear" w:color="auto" w:fill="FFFFFF"/>
        </w:rPr>
        <w:t>,</w:t>
      </w:r>
      <w:r w:rsidRPr="006014F0">
        <w:rPr>
          <w:rFonts w:cstheme="minorHAnsi"/>
          <w:color w:val="000000"/>
          <w:shd w:val="clear" w:color="auto" w:fill="FFFFFF"/>
        </w:rPr>
        <w:t xml:space="preserve"> or hit a lot more than children of the same age. </w:t>
      </w:r>
    </w:p>
    <w:p w14:paraId="34CB57B7" w14:textId="321326BD" w:rsidR="007057CD" w:rsidRDefault="007057CD" w:rsidP="007057CD">
      <w:pPr>
        <w:pStyle w:val="Heading3"/>
      </w:pPr>
      <w:bookmarkStart w:id="159" w:name="_Toc187762892"/>
      <w:bookmarkStart w:id="160" w:name="_Toc187763853"/>
      <w:bookmarkStart w:id="161" w:name="_Toc190856856"/>
      <w:r>
        <w:t>6.1.</w:t>
      </w:r>
      <w:r w:rsidR="00800D3F">
        <w:t xml:space="preserve">3 </w:t>
      </w:r>
      <w:r w:rsidR="00B44677">
        <w:t>The treatment of assistive equipment or technology</w:t>
      </w:r>
      <w:bookmarkEnd w:id="159"/>
      <w:bookmarkEnd w:id="160"/>
      <w:bookmarkEnd w:id="161"/>
    </w:p>
    <w:p w14:paraId="50E4C6A4" w14:textId="2C8E9716" w:rsidR="00D45206" w:rsidRDefault="00912960" w:rsidP="00912960">
      <w:pPr>
        <w:rPr>
          <w:rFonts w:cstheme="minorHAnsi"/>
          <w:shd w:val="clear" w:color="auto" w:fill="FFFFFF"/>
        </w:rPr>
      </w:pPr>
      <w:r w:rsidRPr="00097E7F">
        <w:rPr>
          <w:rFonts w:cstheme="minorHAnsi"/>
          <w:shd w:val="clear" w:color="auto" w:fill="FFFFFF"/>
        </w:rPr>
        <w:t xml:space="preserve">Assistive devices can be helpful in reducing the limiting effects of functional difficulties. </w:t>
      </w:r>
      <w:r w:rsidRPr="00097E7F" w:rsidDel="008A6507">
        <w:rPr>
          <w:rFonts w:cstheme="minorHAnsi"/>
          <w:shd w:val="clear" w:color="auto" w:fill="FFFFFF"/>
        </w:rPr>
        <w:t xml:space="preserve">In </w:t>
      </w:r>
      <w:r w:rsidDel="008A6507">
        <w:rPr>
          <w:rFonts w:cstheme="minorHAnsi"/>
          <w:shd w:val="clear" w:color="auto" w:fill="FFFFFF"/>
        </w:rPr>
        <w:t xml:space="preserve">line with </w:t>
      </w:r>
      <w:r w:rsidR="00013CA4">
        <w:rPr>
          <w:rFonts w:cstheme="minorHAnsi"/>
          <w:shd w:val="clear" w:color="auto" w:fill="FFFFFF"/>
        </w:rPr>
        <w:t xml:space="preserve">the </w:t>
      </w:r>
      <w:hyperlink r:id="rId42" w:history="1">
        <w:r w:rsidR="00FB290C" w:rsidDel="008A6507">
          <w:rPr>
            <w:rStyle w:val="Hyperlink"/>
            <w:rFonts w:cstheme="minorHAnsi"/>
            <w:shd w:val="clear" w:color="auto" w:fill="FFFFFF"/>
          </w:rPr>
          <w:t xml:space="preserve">Washington </w:t>
        </w:r>
        <w:r w:rsidR="00013CA4">
          <w:rPr>
            <w:rStyle w:val="Hyperlink"/>
            <w:rFonts w:cstheme="minorHAnsi"/>
            <w:shd w:val="clear" w:color="auto" w:fill="FFFFFF"/>
          </w:rPr>
          <w:t>Group's</w:t>
        </w:r>
        <w:r w:rsidR="00FB290C" w:rsidDel="008A6507">
          <w:rPr>
            <w:rStyle w:val="Hyperlink"/>
            <w:rFonts w:cstheme="minorHAnsi"/>
            <w:shd w:val="clear" w:color="auto" w:fill="FFFFFF"/>
          </w:rPr>
          <w:t xml:space="preserve"> practice</w:t>
        </w:r>
      </w:hyperlink>
      <w:r w:rsidRPr="00097E7F" w:rsidDel="008A6507">
        <w:rPr>
          <w:rFonts w:cstheme="minorHAnsi"/>
          <w:shd w:val="clear" w:color="auto" w:fill="FFFFFF"/>
        </w:rPr>
        <w:t xml:space="preserve">, </w:t>
      </w:r>
      <w:r w:rsidRPr="00097E7F">
        <w:rPr>
          <w:rFonts w:cstheme="minorHAnsi"/>
          <w:shd w:val="clear" w:color="auto" w:fill="FFFFFF"/>
        </w:rPr>
        <w:t xml:space="preserve">HDS participants </w:t>
      </w:r>
      <w:r w:rsidR="00155E54">
        <w:rPr>
          <w:rFonts w:cstheme="minorHAnsi"/>
          <w:shd w:val="clear" w:color="auto" w:fill="FFFFFF"/>
        </w:rPr>
        <w:t>were</w:t>
      </w:r>
      <w:r w:rsidR="00155E54" w:rsidRPr="00097E7F">
        <w:rPr>
          <w:rFonts w:cstheme="minorHAnsi"/>
          <w:shd w:val="clear" w:color="auto" w:fill="FFFFFF"/>
        </w:rPr>
        <w:t xml:space="preserve"> </w:t>
      </w:r>
      <w:r w:rsidRPr="00097E7F">
        <w:rPr>
          <w:rFonts w:cstheme="minorHAnsi"/>
          <w:shd w:val="clear" w:color="auto" w:fill="FFFFFF"/>
        </w:rPr>
        <w:t xml:space="preserve">asked about </w:t>
      </w:r>
      <w:r>
        <w:rPr>
          <w:rFonts w:cstheme="minorHAnsi"/>
          <w:shd w:val="clear" w:color="auto" w:fill="FFFFFF"/>
        </w:rPr>
        <w:t xml:space="preserve">any difficulties </w:t>
      </w:r>
      <w:r w:rsidR="00E46014">
        <w:rPr>
          <w:rFonts w:cstheme="minorHAnsi"/>
          <w:shd w:val="clear" w:color="auto" w:fill="FFFFFF"/>
        </w:rPr>
        <w:t>seeing or</w:t>
      </w:r>
      <w:r w:rsidRPr="00097E7F">
        <w:rPr>
          <w:rFonts w:cstheme="minorHAnsi"/>
          <w:shd w:val="clear" w:color="auto" w:fill="FFFFFF"/>
        </w:rPr>
        <w:t xml:space="preserve"> hearing while </w:t>
      </w:r>
      <w:r w:rsidRPr="005554B3">
        <w:rPr>
          <w:rFonts w:cstheme="minorHAnsi"/>
          <w:b/>
          <w:bCs/>
          <w:shd w:val="clear" w:color="auto" w:fill="FFFFFF"/>
        </w:rPr>
        <w:t>using</w:t>
      </w:r>
      <w:r w:rsidRPr="00097E7F">
        <w:rPr>
          <w:rFonts w:cstheme="minorHAnsi"/>
          <w:shd w:val="clear" w:color="auto" w:fill="FFFFFF"/>
        </w:rPr>
        <w:t xml:space="preserve"> their assistive devices (like glasses and hearing aids). </w:t>
      </w:r>
    </w:p>
    <w:p w14:paraId="107FF626" w14:textId="5E582853" w:rsidR="00912960" w:rsidRDefault="00912960" w:rsidP="00912960">
      <w:pPr>
        <w:rPr>
          <w:rFonts w:cstheme="minorHAnsi"/>
          <w:shd w:val="clear" w:color="auto" w:fill="FFFFFF"/>
        </w:rPr>
      </w:pPr>
      <w:r w:rsidRPr="00097E7F">
        <w:rPr>
          <w:rFonts w:cstheme="minorHAnsi"/>
          <w:shd w:val="clear" w:color="auto" w:fill="FFFFFF"/>
        </w:rPr>
        <w:t>For other functional domains</w:t>
      </w:r>
      <w:r w:rsidR="000C762C">
        <w:rPr>
          <w:rFonts w:cstheme="minorHAnsi"/>
          <w:shd w:val="clear" w:color="auto" w:fill="FFFFFF"/>
        </w:rPr>
        <w:t>,</w:t>
      </w:r>
      <w:r w:rsidRPr="00097E7F">
        <w:rPr>
          <w:rFonts w:cstheme="minorHAnsi"/>
          <w:shd w:val="clear" w:color="auto" w:fill="FFFFFF"/>
        </w:rPr>
        <w:t xml:space="preserve"> the questions </w:t>
      </w:r>
      <w:r w:rsidR="00C74EC9">
        <w:rPr>
          <w:rFonts w:cstheme="minorHAnsi"/>
          <w:shd w:val="clear" w:color="auto" w:fill="FFFFFF"/>
        </w:rPr>
        <w:t>were</w:t>
      </w:r>
      <w:r w:rsidR="00C74EC9" w:rsidRPr="00097E7F">
        <w:rPr>
          <w:rFonts w:cstheme="minorHAnsi"/>
          <w:shd w:val="clear" w:color="auto" w:fill="FFFFFF"/>
        </w:rPr>
        <w:t xml:space="preserve"> </w:t>
      </w:r>
      <w:r>
        <w:rPr>
          <w:rFonts w:cstheme="minorHAnsi"/>
          <w:shd w:val="clear" w:color="auto" w:fill="FFFFFF"/>
        </w:rPr>
        <w:t xml:space="preserve">meant </w:t>
      </w:r>
      <w:r w:rsidRPr="00097E7F">
        <w:rPr>
          <w:rFonts w:cstheme="minorHAnsi"/>
          <w:shd w:val="clear" w:color="auto" w:fill="FFFFFF"/>
        </w:rPr>
        <w:t xml:space="preserve">to be answered as if they </w:t>
      </w:r>
      <w:r w:rsidR="00B0076A">
        <w:rPr>
          <w:rFonts w:cstheme="minorHAnsi"/>
          <w:shd w:val="clear" w:color="auto" w:fill="FFFFFF"/>
        </w:rPr>
        <w:t>were</w:t>
      </w:r>
      <w:r w:rsidR="00B0076A" w:rsidRPr="00097E7F">
        <w:rPr>
          <w:rFonts w:cstheme="minorHAnsi"/>
          <w:shd w:val="clear" w:color="auto" w:fill="FFFFFF"/>
        </w:rPr>
        <w:t xml:space="preserve"> </w:t>
      </w:r>
      <w:r w:rsidRPr="00097E7F">
        <w:rPr>
          <w:rFonts w:cstheme="minorHAnsi"/>
          <w:b/>
          <w:bCs/>
          <w:shd w:val="clear" w:color="auto" w:fill="FFFFFF"/>
        </w:rPr>
        <w:t xml:space="preserve">not </w:t>
      </w:r>
      <w:r w:rsidRPr="005554B3">
        <w:rPr>
          <w:rFonts w:cstheme="minorHAnsi"/>
          <w:b/>
          <w:bCs/>
          <w:shd w:val="clear" w:color="auto" w:fill="FFFFFF"/>
        </w:rPr>
        <w:t>using</w:t>
      </w:r>
      <w:r w:rsidRPr="00097E7F">
        <w:rPr>
          <w:rFonts w:cstheme="minorHAnsi"/>
          <w:shd w:val="clear" w:color="auto" w:fill="FFFFFF"/>
        </w:rPr>
        <w:t xml:space="preserve"> any assistive devices.</w:t>
      </w:r>
      <w:r w:rsidR="00A02E1C">
        <w:rPr>
          <w:rFonts w:cstheme="minorHAnsi"/>
          <w:shd w:val="clear" w:color="auto" w:fill="FFFFFF"/>
        </w:rPr>
        <w:t xml:space="preserve"> </w:t>
      </w:r>
      <w:r>
        <w:rPr>
          <w:rFonts w:cstheme="minorHAnsi"/>
          <w:shd w:val="clear" w:color="auto" w:fill="FFFFFF"/>
        </w:rPr>
        <w:t>The extent to which respondents answered the questions as designers intended is not known.</w:t>
      </w:r>
    </w:p>
    <w:p w14:paraId="0AE60908" w14:textId="633557DC" w:rsidR="00CE10E8" w:rsidRDefault="00CE10E8" w:rsidP="00CE10E8">
      <w:pPr>
        <w:pStyle w:val="Heading2"/>
      </w:pPr>
      <w:bookmarkStart w:id="162" w:name="_6.2_Definitions_of"/>
      <w:bookmarkStart w:id="163" w:name="_Toc187762893"/>
      <w:bookmarkStart w:id="164" w:name="_Toc187763578"/>
      <w:bookmarkStart w:id="165" w:name="_Toc187763854"/>
      <w:bookmarkStart w:id="166" w:name="_Toc190856857"/>
      <w:bookmarkEnd w:id="162"/>
      <w:r>
        <w:t>6.</w:t>
      </w:r>
      <w:r w:rsidR="009E5FEC">
        <w:t>2</w:t>
      </w:r>
      <w:r>
        <w:t xml:space="preserve"> Definitions of terms</w:t>
      </w:r>
      <w:bookmarkEnd w:id="163"/>
      <w:bookmarkEnd w:id="164"/>
      <w:bookmarkEnd w:id="165"/>
      <w:bookmarkEnd w:id="166"/>
    </w:p>
    <w:tbl>
      <w:tblPr>
        <w:tblStyle w:val="TableGrid"/>
        <w:tblW w:w="9192" w:type="dxa"/>
        <w:tblLook w:val="04A0" w:firstRow="1" w:lastRow="0" w:firstColumn="1" w:lastColumn="0" w:noHBand="0" w:noVBand="1"/>
      </w:tblPr>
      <w:tblGrid>
        <w:gridCol w:w="2307"/>
        <w:gridCol w:w="6885"/>
      </w:tblGrid>
      <w:tr w:rsidR="00F147F0" w:rsidRPr="00A236A8" w14:paraId="38733CBA" w14:textId="77777777" w:rsidTr="3524BD2A">
        <w:trPr>
          <w:cantSplit/>
          <w:trHeight w:val="248"/>
          <w:tblHeader/>
        </w:trPr>
        <w:tc>
          <w:tcPr>
            <w:tcW w:w="2307" w:type="dxa"/>
            <w:shd w:val="clear" w:color="auto" w:fill="E7E6E6" w:themeFill="background2"/>
          </w:tcPr>
          <w:p w14:paraId="1B7AB6AF" w14:textId="665955C0"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Term</w:t>
            </w:r>
          </w:p>
        </w:tc>
        <w:tc>
          <w:tcPr>
            <w:tcW w:w="6885" w:type="dxa"/>
            <w:shd w:val="clear" w:color="auto" w:fill="E7E6E6" w:themeFill="background2"/>
          </w:tcPr>
          <w:p w14:paraId="4DBF2174"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Definition</w:t>
            </w:r>
          </w:p>
        </w:tc>
      </w:tr>
      <w:tr w:rsidR="00F147F0" w:rsidRPr="00A236A8" w14:paraId="54BA1AA4" w14:textId="77777777" w:rsidTr="3524BD2A">
        <w:trPr>
          <w:cantSplit/>
          <w:trHeight w:val="346"/>
        </w:trPr>
        <w:tc>
          <w:tcPr>
            <w:tcW w:w="2307" w:type="dxa"/>
          </w:tcPr>
          <w:p w14:paraId="37ED8064" w14:textId="77777777" w:rsidR="00F147F0" w:rsidRPr="00144FF8" w:rsidRDefault="00F147F0" w:rsidP="00F147F0">
            <w:pPr>
              <w:spacing w:after="160"/>
              <w:rPr>
                <w:rFonts w:asciiTheme="minorHAnsi" w:hAnsiTheme="minorHAnsi" w:cstheme="minorHAnsi"/>
                <w:b/>
                <w:sz w:val="22"/>
                <w:szCs w:val="22"/>
              </w:rPr>
            </w:pPr>
            <w:r w:rsidRPr="00144FF8">
              <w:rPr>
                <w:rFonts w:asciiTheme="minorHAnsi" w:hAnsiTheme="minorHAnsi" w:cstheme="minorHAnsi"/>
                <w:b/>
                <w:sz w:val="22"/>
                <w:szCs w:val="22"/>
              </w:rPr>
              <w:t>Activity</w:t>
            </w:r>
            <w:r w:rsidRPr="00144FF8">
              <w:rPr>
                <w:rFonts w:asciiTheme="minorHAnsi" w:hAnsiTheme="minorHAnsi" w:cstheme="minorHAnsi"/>
                <w:sz w:val="22"/>
                <w:szCs w:val="22"/>
              </w:rPr>
              <w:t xml:space="preserve"> </w:t>
            </w:r>
            <w:r w:rsidRPr="00144FF8">
              <w:rPr>
                <w:rFonts w:asciiTheme="minorHAnsi" w:hAnsiTheme="minorHAnsi" w:cstheme="minorHAnsi"/>
                <w:b/>
                <w:sz w:val="22"/>
                <w:szCs w:val="22"/>
              </w:rPr>
              <w:t>limitation</w:t>
            </w:r>
          </w:p>
        </w:tc>
        <w:tc>
          <w:tcPr>
            <w:tcW w:w="6885" w:type="dxa"/>
          </w:tcPr>
          <w:p w14:paraId="2D63477C" w14:textId="77777777" w:rsidR="00F147F0" w:rsidRPr="00144FF8" w:rsidRDefault="00F147F0" w:rsidP="00F147F0">
            <w:pPr>
              <w:spacing w:after="160"/>
              <w:rPr>
                <w:rFonts w:asciiTheme="minorHAnsi" w:hAnsiTheme="minorHAnsi" w:cstheme="minorHAnsi"/>
                <w:sz w:val="22"/>
                <w:szCs w:val="22"/>
              </w:rPr>
            </w:pPr>
            <w:r w:rsidRPr="00144FF8">
              <w:rPr>
                <w:rFonts w:asciiTheme="minorHAnsi" w:hAnsiTheme="minorHAnsi" w:cstheme="minorHAnsi"/>
                <w:sz w:val="22"/>
                <w:szCs w:val="22"/>
              </w:rPr>
              <w:t>Difficulty carrying out a task or action.</w:t>
            </w:r>
          </w:p>
        </w:tc>
      </w:tr>
      <w:tr w:rsidR="00F147F0" w:rsidRPr="00A236A8" w14:paraId="75D4107B" w14:textId="77777777" w:rsidTr="3524BD2A">
        <w:trPr>
          <w:cantSplit/>
          <w:trHeight w:val="326"/>
        </w:trPr>
        <w:tc>
          <w:tcPr>
            <w:tcW w:w="2307" w:type="dxa"/>
          </w:tcPr>
          <w:p w14:paraId="029CE112"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Style w:val="Strong"/>
                <w:rFonts w:asciiTheme="minorHAnsi" w:hAnsiTheme="minorHAnsi" w:cstheme="minorHAnsi"/>
                <w:color w:val="333333"/>
                <w:sz w:val="22"/>
                <w:szCs w:val="22"/>
              </w:rPr>
              <w:t>Adult</w:t>
            </w:r>
          </w:p>
        </w:tc>
        <w:tc>
          <w:tcPr>
            <w:tcW w:w="6885" w:type="dxa"/>
          </w:tcPr>
          <w:p w14:paraId="57731AB2"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sz w:val="22"/>
                <w:szCs w:val="22"/>
              </w:rPr>
              <w:t>A person aged 15 years or over.</w:t>
            </w:r>
          </w:p>
        </w:tc>
      </w:tr>
      <w:tr w:rsidR="00F147F0" w:rsidRPr="00A236A8" w14:paraId="79A0FB4E" w14:textId="77777777" w:rsidTr="3524BD2A">
        <w:trPr>
          <w:cantSplit/>
          <w:trHeight w:val="538"/>
        </w:trPr>
        <w:tc>
          <w:tcPr>
            <w:tcW w:w="2307" w:type="dxa"/>
          </w:tcPr>
          <w:p w14:paraId="63892C27"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b/>
                <w:bCs/>
                <w:sz w:val="22"/>
                <w:szCs w:val="22"/>
              </w:rPr>
              <w:t>Body functions</w:t>
            </w:r>
          </w:p>
        </w:tc>
        <w:tc>
          <w:tcPr>
            <w:tcW w:w="6885" w:type="dxa"/>
          </w:tcPr>
          <w:p w14:paraId="206FBC8C"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sz w:val="22"/>
                <w:szCs w:val="22"/>
              </w:rPr>
              <w:t>Physiological functions of body systems (including psychological functions).</w:t>
            </w:r>
          </w:p>
        </w:tc>
      </w:tr>
      <w:tr w:rsidR="00F147F0" w:rsidRPr="00A236A8" w14:paraId="01AA41CA" w14:textId="77777777" w:rsidTr="3524BD2A">
        <w:trPr>
          <w:cantSplit/>
          <w:trHeight w:val="538"/>
        </w:trPr>
        <w:tc>
          <w:tcPr>
            <w:tcW w:w="2307" w:type="dxa"/>
          </w:tcPr>
          <w:p w14:paraId="2FD5E53C"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b/>
                <w:bCs/>
                <w:sz w:val="22"/>
                <w:szCs w:val="22"/>
              </w:rPr>
              <w:t>Body structures</w:t>
            </w:r>
          </w:p>
        </w:tc>
        <w:tc>
          <w:tcPr>
            <w:tcW w:w="6885" w:type="dxa"/>
          </w:tcPr>
          <w:p w14:paraId="3BC7F90D"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sz w:val="22"/>
                <w:szCs w:val="22"/>
              </w:rPr>
              <w:t>Anatomical parts of the body such as organs, limbs, and their components.</w:t>
            </w:r>
          </w:p>
        </w:tc>
      </w:tr>
      <w:tr w:rsidR="00F147F0" w:rsidRPr="00A236A8" w14:paraId="354DFF90" w14:textId="77777777" w:rsidTr="3524BD2A">
        <w:trPr>
          <w:cantSplit/>
          <w:trHeight w:val="326"/>
        </w:trPr>
        <w:tc>
          <w:tcPr>
            <w:tcW w:w="2307" w:type="dxa"/>
          </w:tcPr>
          <w:p w14:paraId="7BAAA298"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Style w:val="Strong"/>
                <w:rFonts w:asciiTheme="minorHAnsi" w:hAnsiTheme="minorHAnsi" w:cstheme="minorHAnsi"/>
                <w:color w:val="333333"/>
                <w:sz w:val="22"/>
                <w:szCs w:val="22"/>
              </w:rPr>
              <w:t>Child</w:t>
            </w:r>
          </w:p>
        </w:tc>
        <w:tc>
          <w:tcPr>
            <w:tcW w:w="6885" w:type="dxa"/>
          </w:tcPr>
          <w:p w14:paraId="5C2C949C" w14:textId="770FCEC4"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sz w:val="22"/>
                <w:szCs w:val="22"/>
              </w:rPr>
              <w:t>A person aged 0</w:t>
            </w:r>
            <w:r w:rsidR="00573170">
              <w:rPr>
                <w:rFonts w:asciiTheme="minorHAnsi" w:hAnsiTheme="minorHAnsi" w:cstheme="minorHAnsi"/>
                <w:sz w:val="22"/>
                <w:szCs w:val="22"/>
              </w:rPr>
              <w:t xml:space="preserve"> to </w:t>
            </w:r>
            <w:r w:rsidRPr="00A236A8">
              <w:rPr>
                <w:rFonts w:asciiTheme="minorHAnsi" w:hAnsiTheme="minorHAnsi" w:cstheme="minorHAnsi"/>
                <w:sz w:val="22"/>
                <w:szCs w:val="22"/>
              </w:rPr>
              <w:t>14 years.</w:t>
            </w:r>
          </w:p>
        </w:tc>
      </w:tr>
      <w:tr w:rsidR="00F147F0" w:rsidRPr="00A236A8" w14:paraId="67AEEEFF" w14:textId="77777777" w:rsidTr="3524BD2A">
        <w:trPr>
          <w:cantSplit/>
          <w:trHeight w:val="538"/>
        </w:trPr>
        <w:tc>
          <w:tcPr>
            <w:tcW w:w="2307" w:type="dxa"/>
          </w:tcPr>
          <w:p w14:paraId="0C51F774"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Contextual factors</w:t>
            </w:r>
          </w:p>
        </w:tc>
        <w:tc>
          <w:tcPr>
            <w:tcW w:w="6885" w:type="dxa"/>
          </w:tcPr>
          <w:p w14:paraId="3F8EE333"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The entire background of a person's life and living situation including environmental and personal factors.</w:t>
            </w:r>
          </w:p>
        </w:tc>
      </w:tr>
      <w:tr w:rsidR="00F147F0" w:rsidRPr="00A236A8" w14:paraId="5AF017CD" w14:textId="77777777" w:rsidTr="3524BD2A">
        <w:trPr>
          <w:cantSplit/>
          <w:trHeight w:val="2981"/>
        </w:trPr>
        <w:tc>
          <w:tcPr>
            <w:tcW w:w="2307" w:type="dxa"/>
          </w:tcPr>
          <w:p w14:paraId="3D1393D0" w14:textId="347C3482" w:rsidR="00F147F0" w:rsidRPr="00293E23" w:rsidRDefault="00F147F0" w:rsidP="00F147F0">
            <w:pPr>
              <w:spacing w:after="160"/>
              <w:rPr>
                <w:rFonts w:asciiTheme="minorHAnsi" w:hAnsiTheme="minorHAnsi" w:cstheme="minorHAnsi"/>
                <w:b/>
                <w:bCs/>
                <w:sz w:val="22"/>
                <w:szCs w:val="22"/>
              </w:rPr>
            </w:pPr>
            <w:r w:rsidRPr="00293E23">
              <w:rPr>
                <w:rFonts w:asciiTheme="minorHAnsi" w:hAnsiTheme="minorHAnsi" w:cstheme="minorHAnsi"/>
                <w:b/>
                <w:bCs/>
                <w:sz w:val="22"/>
                <w:szCs w:val="22"/>
              </w:rPr>
              <w:t xml:space="preserve">Difficulty </w:t>
            </w:r>
            <w:r w:rsidR="00B779B7">
              <w:rPr>
                <w:rFonts w:asciiTheme="minorHAnsi" w:hAnsiTheme="minorHAnsi" w:cstheme="minorHAnsi"/>
                <w:b/>
                <w:bCs/>
                <w:sz w:val="22"/>
                <w:szCs w:val="22"/>
              </w:rPr>
              <w:t>or</w:t>
            </w:r>
            <w:r w:rsidRPr="00293E23">
              <w:rPr>
                <w:rFonts w:asciiTheme="minorHAnsi" w:hAnsiTheme="minorHAnsi" w:cstheme="minorHAnsi"/>
                <w:b/>
                <w:bCs/>
                <w:sz w:val="22"/>
                <w:szCs w:val="22"/>
              </w:rPr>
              <w:t xml:space="preserve"> functional difficulty</w:t>
            </w:r>
          </w:p>
        </w:tc>
        <w:tc>
          <w:tcPr>
            <w:tcW w:w="6885" w:type="dxa"/>
          </w:tcPr>
          <w:p w14:paraId="331A70F9" w14:textId="1F237EA5" w:rsidR="00F147F0" w:rsidRPr="00A236A8" w:rsidRDefault="13CC9F7B" w:rsidP="3524BD2A">
            <w:pPr>
              <w:spacing w:after="160"/>
              <w:rPr>
                <w:rFonts w:asciiTheme="minorHAnsi" w:hAnsiTheme="minorHAnsi" w:cstheme="minorBidi"/>
                <w:sz w:val="22"/>
                <w:szCs w:val="22"/>
              </w:rPr>
            </w:pPr>
            <w:r w:rsidRPr="3524BD2A">
              <w:rPr>
                <w:rFonts w:asciiTheme="minorHAnsi" w:hAnsiTheme="minorHAnsi" w:cstheme="minorBidi"/>
                <w:sz w:val="22"/>
                <w:szCs w:val="22"/>
              </w:rPr>
              <w:t>In the context of assessing disability status for each participant or when talking about ‘difficulty in a functional domain’, difficulty is determined in different ways depending on the question structure in that domain.</w:t>
            </w:r>
            <w:r w:rsidR="5D3B6FF3" w:rsidRPr="3524BD2A">
              <w:rPr>
                <w:rFonts w:asciiTheme="minorHAnsi" w:hAnsiTheme="minorHAnsi" w:cstheme="minorBidi"/>
                <w:sz w:val="22"/>
                <w:szCs w:val="22"/>
              </w:rPr>
              <w:t xml:space="preserve"> </w:t>
            </w:r>
          </w:p>
          <w:p w14:paraId="186CD534"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Most often it refers to having selected one of the response options ‘a lot of difficulty’ or ‘unable to do it at all’ for at least one of the questions in that domain. </w:t>
            </w:r>
          </w:p>
          <w:p w14:paraId="223BF014" w14:textId="0D8E5883"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Some questions </w:t>
            </w:r>
            <w:r w:rsidR="00D8490B">
              <w:rPr>
                <w:rFonts w:asciiTheme="minorHAnsi" w:hAnsiTheme="minorHAnsi" w:cstheme="minorHAnsi"/>
                <w:sz w:val="22"/>
                <w:szCs w:val="22"/>
              </w:rPr>
              <w:t>we</w:t>
            </w:r>
            <w:r w:rsidRPr="00A236A8">
              <w:rPr>
                <w:rFonts w:asciiTheme="minorHAnsi" w:hAnsiTheme="minorHAnsi" w:cstheme="minorHAnsi"/>
                <w:sz w:val="22"/>
                <w:szCs w:val="22"/>
              </w:rPr>
              <w:t>re phrased differently.</w:t>
            </w:r>
            <w:r w:rsidR="00A02E1C">
              <w:rPr>
                <w:rFonts w:asciiTheme="minorHAnsi" w:hAnsiTheme="minorHAnsi" w:cstheme="minorHAnsi"/>
                <w:sz w:val="22"/>
                <w:szCs w:val="22"/>
              </w:rPr>
              <w:t xml:space="preserve"> </w:t>
            </w:r>
            <w:r w:rsidRPr="00A236A8">
              <w:rPr>
                <w:rFonts w:asciiTheme="minorHAnsi" w:hAnsiTheme="minorHAnsi" w:cstheme="minorHAnsi"/>
                <w:sz w:val="22"/>
                <w:szCs w:val="22"/>
              </w:rPr>
              <w:t>In those cases, ‘difficulty’ is assumed to arise when the respondent/proxy reports:</w:t>
            </w:r>
          </w:p>
          <w:p w14:paraId="7075EDFA" w14:textId="1FBD63C5" w:rsidR="00F147F0" w:rsidRPr="00A236A8" w:rsidRDefault="00F147F0" w:rsidP="00F147F0">
            <w:pPr>
              <w:pStyle w:val="ListParagraph"/>
              <w:numPr>
                <w:ilvl w:val="0"/>
                <w:numId w:val="13"/>
              </w:numPr>
              <w:spacing w:after="160"/>
              <w:rPr>
                <w:rFonts w:asciiTheme="minorHAnsi" w:hAnsiTheme="minorHAnsi" w:cstheme="minorHAnsi"/>
                <w:sz w:val="22"/>
                <w:szCs w:val="22"/>
              </w:rPr>
            </w:pPr>
            <w:r w:rsidRPr="00A236A8">
              <w:rPr>
                <w:rFonts w:asciiTheme="minorHAnsi" w:hAnsiTheme="minorHAnsi" w:cstheme="minorHAnsi"/>
                <w:sz w:val="22"/>
                <w:szCs w:val="22"/>
              </w:rPr>
              <w:t>severe and persistent feelings of depression, anxiety, pain, or fatigue</w:t>
            </w:r>
          </w:p>
          <w:p w14:paraId="7737914B" w14:textId="175DD8C7" w:rsidR="00F147F0" w:rsidRPr="001D087B" w:rsidRDefault="00F147F0" w:rsidP="00F147F0">
            <w:pPr>
              <w:pStyle w:val="ListParagraph"/>
              <w:numPr>
                <w:ilvl w:val="0"/>
                <w:numId w:val="13"/>
              </w:numPr>
              <w:spacing w:after="160"/>
              <w:rPr>
                <w:rFonts w:asciiTheme="minorHAnsi" w:hAnsiTheme="minorHAnsi" w:cstheme="minorHAnsi"/>
                <w:sz w:val="22"/>
                <w:szCs w:val="22"/>
              </w:rPr>
            </w:pPr>
            <w:r w:rsidRPr="001D087B">
              <w:rPr>
                <w:rFonts w:asciiTheme="minorHAnsi" w:hAnsiTheme="minorHAnsi" w:cstheme="minorHAnsi"/>
                <w:sz w:val="22"/>
                <w:szCs w:val="22"/>
              </w:rPr>
              <w:t xml:space="preserve">a diagnosed intellectual disability or developmental delay </w:t>
            </w:r>
          </w:p>
          <w:p w14:paraId="29CDE5A8" w14:textId="1B4203BC" w:rsidR="00F147F0" w:rsidRPr="00A236A8" w:rsidRDefault="00F147F0" w:rsidP="00F147F0">
            <w:pPr>
              <w:pStyle w:val="ListParagraph"/>
              <w:numPr>
                <w:ilvl w:val="0"/>
                <w:numId w:val="13"/>
              </w:numPr>
              <w:spacing w:after="160"/>
              <w:rPr>
                <w:rFonts w:asciiTheme="minorHAnsi" w:hAnsiTheme="minorHAnsi" w:cstheme="minorHAnsi"/>
                <w:sz w:val="22"/>
                <w:szCs w:val="22"/>
              </w:rPr>
            </w:pPr>
            <w:r w:rsidRPr="00A236A8">
              <w:rPr>
                <w:rFonts w:asciiTheme="minorHAnsi" w:hAnsiTheme="minorHAnsi" w:cstheme="minorHAnsi"/>
                <w:sz w:val="22"/>
                <w:szCs w:val="22"/>
              </w:rPr>
              <w:t>kicking, biting</w:t>
            </w:r>
            <w:r w:rsidR="001E445B">
              <w:rPr>
                <w:rFonts w:asciiTheme="minorHAnsi" w:hAnsiTheme="minorHAnsi" w:cstheme="minorHAnsi"/>
                <w:sz w:val="22"/>
                <w:szCs w:val="22"/>
              </w:rPr>
              <w:t>,</w:t>
            </w:r>
            <w:r w:rsidRPr="00A236A8">
              <w:rPr>
                <w:rFonts w:asciiTheme="minorHAnsi" w:hAnsiTheme="minorHAnsi" w:cstheme="minorHAnsi"/>
                <w:sz w:val="22"/>
                <w:szCs w:val="22"/>
              </w:rPr>
              <w:t xml:space="preserve"> or hitting a lot more than children of the same age</w:t>
            </w:r>
            <w:r w:rsidR="009E49E0">
              <w:rPr>
                <w:rFonts w:asciiTheme="minorHAnsi" w:hAnsiTheme="minorHAnsi" w:cstheme="minorHAnsi"/>
                <w:sz w:val="22"/>
                <w:szCs w:val="22"/>
              </w:rPr>
              <w:t>.</w:t>
            </w:r>
          </w:p>
        </w:tc>
      </w:tr>
      <w:tr w:rsidR="00F147F0" w:rsidRPr="00A236A8" w14:paraId="45BB742C" w14:textId="77777777" w:rsidTr="3524BD2A">
        <w:trPr>
          <w:cantSplit/>
          <w:trHeight w:val="538"/>
        </w:trPr>
        <w:tc>
          <w:tcPr>
            <w:tcW w:w="2307" w:type="dxa"/>
          </w:tcPr>
          <w:p w14:paraId="47CDEF09" w14:textId="2ABA1F51" w:rsidR="00F147F0" w:rsidRPr="00A236A8" w:rsidRDefault="00F147F0" w:rsidP="00F147F0">
            <w:pPr>
              <w:spacing w:after="160"/>
              <w:rPr>
                <w:rStyle w:val="Strong"/>
                <w:rFonts w:asciiTheme="minorHAnsi" w:hAnsiTheme="minorHAnsi" w:cstheme="minorHAnsi"/>
                <w:color w:val="333333"/>
                <w:sz w:val="22"/>
                <w:szCs w:val="22"/>
              </w:rPr>
            </w:pPr>
            <w:r w:rsidRPr="00A236A8">
              <w:rPr>
                <w:rStyle w:val="Strong"/>
                <w:rFonts w:asciiTheme="minorHAnsi" w:hAnsiTheme="minorHAnsi" w:cstheme="minorHAnsi"/>
                <w:color w:val="333333"/>
                <w:sz w:val="22"/>
                <w:szCs w:val="22"/>
              </w:rPr>
              <w:t xml:space="preserve">Disability prevalence rate or </w:t>
            </w:r>
            <w:r w:rsidR="001C0D51">
              <w:rPr>
                <w:rStyle w:val="Strong"/>
                <w:rFonts w:asciiTheme="minorHAnsi" w:hAnsiTheme="minorHAnsi" w:cstheme="minorHAnsi"/>
                <w:color w:val="333333"/>
                <w:sz w:val="22"/>
                <w:szCs w:val="22"/>
              </w:rPr>
              <w:t>d</w:t>
            </w:r>
            <w:r w:rsidRPr="00A236A8">
              <w:rPr>
                <w:rStyle w:val="Strong"/>
                <w:rFonts w:asciiTheme="minorHAnsi" w:hAnsiTheme="minorHAnsi" w:cstheme="minorHAnsi"/>
                <w:color w:val="333333"/>
                <w:sz w:val="22"/>
                <w:szCs w:val="22"/>
              </w:rPr>
              <w:t>isability rate</w:t>
            </w:r>
          </w:p>
        </w:tc>
        <w:tc>
          <w:tcPr>
            <w:tcW w:w="6885" w:type="dxa"/>
          </w:tcPr>
          <w:p w14:paraId="425804C3"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sz w:val="22"/>
                <w:szCs w:val="22"/>
              </w:rPr>
              <w:t>The proportion, expressed as a percentage, of disabled people in a specified population.</w:t>
            </w:r>
          </w:p>
        </w:tc>
      </w:tr>
      <w:tr w:rsidR="00F147F0" w:rsidRPr="00A236A8" w14:paraId="2ED76AEB" w14:textId="77777777" w:rsidTr="3524BD2A">
        <w:trPr>
          <w:cantSplit/>
          <w:trHeight w:val="326"/>
        </w:trPr>
        <w:tc>
          <w:tcPr>
            <w:tcW w:w="2307" w:type="dxa"/>
          </w:tcPr>
          <w:p w14:paraId="436492D4" w14:textId="77777777" w:rsidR="00F147F0" w:rsidRPr="00A236A8" w:rsidRDefault="00F147F0" w:rsidP="00F147F0">
            <w:pPr>
              <w:spacing w:after="160"/>
              <w:rPr>
                <w:rStyle w:val="Strong"/>
                <w:rFonts w:asciiTheme="minorHAnsi" w:hAnsiTheme="minorHAnsi" w:cstheme="minorHAnsi"/>
                <w:color w:val="333333"/>
                <w:sz w:val="22"/>
                <w:szCs w:val="22"/>
              </w:rPr>
            </w:pPr>
            <w:r w:rsidRPr="00A236A8">
              <w:rPr>
                <w:rStyle w:val="Strong"/>
                <w:rFonts w:asciiTheme="minorHAnsi" w:hAnsiTheme="minorHAnsi" w:cstheme="minorHAnsi"/>
                <w:color w:val="333333"/>
                <w:sz w:val="22"/>
                <w:szCs w:val="22"/>
              </w:rPr>
              <w:t>Disability status</w:t>
            </w:r>
          </w:p>
        </w:tc>
        <w:tc>
          <w:tcPr>
            <w:tcW w:w="6885" w:type="dxa"/>
          </w:tcPr>
          <w:p w14:paraId="04619680" w14:textId="77777777" w:rsidR="00F147F0" w:rsidRPr="00A236A8" w:rsidRDefault="00F147F0" w:rsidP="00F147F0">
            <w:pPr>
              <w:spacing w:after="16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 binary variable denoting whether the respondent is d</w:t>
            </w:r>
            <w:r w:rsidRPr="00A236A8">
              <w:rPr>
                <w:rFonts w:asciiTheme="minorHAnsi" w:hAnsiTheme="minorHAnsi" w:cstheme="minorHAnsi"/>
                <w:color w:val="000000"/>
                <w:sz w:val="22"/>
                <w:szCs w:val="22"/>
                <w:shd w:val="clear" w:color="auto" w:fill="FFFFFF"/>
              </w:rPr>
              <w:t>isabled or not.</w:t>
            </w:r>
          </w:p>
        </w:tc>
      </w:tr>
      <w:tr w:rsidR="00F147F0" w:rsidRPr="00A236A8" w14:paraId="65799B41" w14:textId="77777777" w:rsidTr="3524BD2A">
        <w:trPr>
          <w:cantSplit/>
          <w:trHeight w:val="1461"/>
        </w:trPr>
        <w:tc>
          <w:tcPr>
            <w:tcW w:w="2307" w:type="dxa"/>
          </w:tcPr>
          <w:p w14:paraId="192D789D" w14:textId="77777777" w:rsidR="00F147F0" w:rsidRPr="00A236A8" w:rsidRDefault="00F147F0" w:rsidP="00F147F0">
            <w:pPr>
              <w:spacing w:after="160"/>
              <w:rPr>
                <w:rStyle w:val="Strong"/>
                <w:rFonts w:asciiTheme="minorHAnsi" w:hAnsiTheme="minorHAnsi" w:cstheme="minorHAnsi"/>
                <w:color w:val="333333"/>
                <w:sz w:val="22"/>
                <w:szCs w:val="22"/>
              </w:rPr>
            </w:pPr>
            <w:r w:rsidRPr="00A236A8">
              <w:rPr>
                <w:rStyle w:val="Strong"/>
                <w:rFonts w:asciiTheme="minorHAnsi" w:hAnsiTheme="minorHAnsi" w:cstheme="minorHAnsi"/>
                <w:color w:val="333333"/>
                <w:sz w:val="22"/>
                <w:szCs w:val="22"/>
              </w:rPr>
              <w:t xml:space="preserve">Disabled person </w:t>
            </w:r>
          </w:p>
          <w:p w14:paraId="0078DE34"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p>
        </w:tc>
        <w:tc>
          <w:tcPr>
            <w:tcW w:w="6885" w:type="dxa"/>
          </w:tcPr>
          <w:p w14:paraId="37F12916" w14:textId="599B15F6" w:rsidR="00F147F0" w:rsidRPr="00A236A8" w:rsidRDefault="00F147F0" w:rsidP="00F147F0">
            <w:pPr>
              <w:spacing w:after="160"/>
              <w:rPr>
                <w:rFonts w:asciiTheme="minorHAnsi" w:hAnsiTheme="minorHAnsi" w:cstheme="minorHAnsi"/>
                <w:color w:val="000000"/>
                <w:sz w:val="22"/>
                <w:szCs w:val="22"/>
                <w:shd w:val="clear" w:color="auto" w:fill="FFFFFF"/>
              </w:rPr>
            </w:pPr>
            <w:r w:rsidRPr="00A236A8">
              <w:rPr>
                <w:rFonts w:asciiTheme="minorHAnsi" w:hAnsiTheme="minorHAnsi" w:cstheme="minorHAnsi"/>
                <w:color w:val="000000"/>
                <w:sz w:val="22"/>
                <w:szCs w:val="22"/>
                <w:shd w:val="clear" w:color="auto" w:fill="FFFFFF"/>
              </w:rPr>
              <w:t>A person who self-reported – or in the case of children, their caregiver report</w:t>
            </w:r>
            <w:r w:rsidR="008405D0">
              <w:rPr>
                <w:rFonts w:asciiTheme="minorHAnsi" w:hAnsiTheme="minorHAnsi" w:cstheme="minorHAnsi"/>
                <w:color w:val="000000"/>
                <w:sz w:val="22"/>
                <w:szCs w:val="22"/>
                <w:shd w:val="clear" w:color="auto" w:fill="FFFFFF"/>
              </w:rPr>
              <w:t>ed</w:t>
            </w:r>
            <w:r w:rsidRPr="00A236A8">
              <w:rPr>
                <w:rFonts w:asciiTheme="minorHAnsi" w:hAnsiTheme="minorHAnsi" w:cstheme="minorHAnsi"/>
                <w:color w:val="000000"/>
                <w:sz w:val="22"/>
                <w:szCs w:val="22"/>
                <w:shd w:val="clear" w:color="auto" w:fill="FFFFFF"/>
              </w:rPr>
              <w:t xml:space="preserve"> – a long-term </w:t>
            </w:r>
            <w:r w:rsidRPr="00A236A8">
              <w:rPr>
                <w:rFonts w:asciiTheme="minorHAnsi" w:hAnsiTheme="minorHAnsi" w:cstheme="minorHAnsi"/>
                <w:b/>
                <w:bCs/>
                <w:color w:val="000000"/>
                <w:sz w:val="22"/>
                <w:szCs w:val="22"/>
                <w:shd w:val="clear" w:color="auto" w:fill="FFFFFF"/>
              </w:rPr>
              <w:t>difficulty</w:t>
            </w:r>
            <w:r w:rsidRPr="00A236A8">
              <w:rPr>
                <w:rFonts w:asciiTheme="minorHAnsi" w:hAnsiTheme="minorHAnsi" w:cstheme="minorHAnsi"/>
                <w:color w:val="000000"/>
                <w:sz w:val="22"/>
                <w:szCs w:val="22"/>
                <w:shd w:val="clear" w:color="auto" w:fill="FFFFFF"/>
              </w:rPr>
              <w:t xml:space="preserve"> in at least one of the functional domains for their age</w:t>
            </w:r>
            <w:r w:rsidR="00BE3B0E">
              <w:rPr>
                <w:rFonts w:asciiTheme="minorHAnsi" w:hAnsiTheme="minorHAnsi" w:cstheme="minorHAnsi"/>
                <w:color w:val="000000"/>
                <w:sz w:val="22"/>
                <w:szCs w:val="22"/>
                <w:shd w:val="clear" w:color="auto" w:fill="FFFFFF"/>
              </w:rPr>
              <w:t xml:space="preserve"> </w:t>
            </w:r>
            <w:r w:rsidRPr="00A236A8">
              <w:rPr>
                <w:rFonts w:asciiTheme="minorHAnsi" w:hAnsiTheme="minorHAnsi" w:cstheme="minorHAnsi"/>
                <w:color w:val="000000"/>
                <w:sz w:val="22"/>
                <w:szCs w:val="22"/>
                <w:shd w:val="clear" w:color="auto" w:fill="FFFFFF"/>
              </w:rPr>
              <w:t xml:space="preserve">group. Where answer options </w:t>
            </w:r>
            <w:r w:rsidR="00316BBB">
              <w:rPr>
                <w:rFonts w:asciiTheme="minorHAnsi" w:hAnsiTheme="minorHAnsi" w:cstheme="minorHAnsi"/>
                <w:color w:val="000000"/>
                <w:sz w:val="22"/>
                <w:szCs w:val="22"/>
                <w:shd w:val="clear" w:color="auto" w:fill="FFFFFF"/>
              </w:rPr>
              <w:t>we</w:t>
            </w:r>
            <w:r w:rsidRPr="00A236A8">
              <w:rPr>
                <w:rFonts w:asciiTheme="minorHAnsi" w:hAnsiTheme="minorHAnsi" w:cstheme="minorHAnsi"/>
                <w:color w:val="000000"/>
                <w:sz w:val="22"/>
                <w:szCs w:val="22"/>
                <w:shd w:val="clear" w:color="auto" w:fill="FFFFFF"/>
              </w:rPr>
              <w:t xml:space="preserve">re scaled, the amount of difficulty reported needed to meet a specified threshold. </w:t>
            </w:r>
          </w:p>
          <w:p w14:paraId="39C213AD" w14:textId="6324DF76" w:rsidR="00F147F0" w:rsidRPr="004810CA" w:rsidRDefault="000C6B6C" w:rsidP="00F147F0">
            <w:pPr>
              <w:spacing w:after="160"/>
              <w:rPr>
                <w:rStyle w:val="Strong"/>
                <w:rFonts w:asciiTheme="minorHAnsi" w:hAnsiTheme="minorHAnsi" w:cstheme="minorHAnsi"/>
                <w:b w:val="0"/>
                <w:bCs w:val="0"/>
                <w:color w:val="333333"/>
                <w:sz w:val="22"/>
                <w:szCs w:val="22"/>
              </w:rPr>
            </w:pPr>
            <w:r w:rsidRPr="007F4C8B">
              <w:rPr>
                <w:rStyle w:val="Strong"/>
                <w:rFonts w:asciiTheme="minorHAnsi" w:hAnsiTheme="minorHAnsi" w:cstheme="minorHAnsi"/>
                <w:color w:val="333333"/>
                <w:szCs w:val="22"/>
              </w:rPr>
              <w:t>F</w:t>
            </w:r>
            <w:r w:rsidRPr="007F4C8B">
              <w:rPr>
                <w:rStyle w:val="Strong"/>
                <w:rFonts w:cstheme="minorHAnsi"/>
                <w:color w:val="333333"/>
              </w:rPr>
              <w:t>or</w:t>
            </w:r>
            <w:r w:rsidR="00F147F0" w:rsidRPr="007F4C8B">
              <w:rPr>
                <w:rStyle w:val="Strong"/>
                <w:rFonts w:cstheme="minorHAnsi"/>
                <w:color w:val="333333"/>
              </w:rPr>
              <w:t xml:space="preserve"> </w:t>
            </w:r>
            <w:r w:rsidR="00F147F0" w:rsidRPr="007F4C8B">
              <w:rPr>
                <w:rStyle w:val="Strong"/>
                <w:rFonts w:asciiTheme="minorHAnsi" w:hAnsiTheme="minorHAnsi" w:cstheme="minorHAnsi"/>
                <w:color w:val="333333"/>
                <w:szCs w:val="22"/>
              </w:rPr>
              <w:t xml:space="preserve">what counts as ‘difficulty’ </w:t>
            </w:r>
            <w:r w:rsidR="00F147F0" w:rsidRPr="007F4C8B" w:rsidDel="005E7086">
              <w:rPr>
                <w:rStyle w:val="Strong"/>
                <w:rFonts w:asciiTheme="minorHAnsi" w:hAnsiTheme="minorHAnsi" w:cstheme="minorHAnsi"/>
                <w:color w:val="333333"/>
                <w:szCs w:val="22"/>
              </w:rPr>
              <w:t>in the context of</w:t>
            </w:r>
            <w:r w:rsidR="00F147F0" w:rsidRPr="00990BB0">
              <w:rPr>
                <w:rStyle w:val="Strong"/>
                <w:rFonts w:asciiTheme="minorHAnsi" w:hAnsiTheme="minorHAnsi" w:cstheme="minorHAnsi"/>
                <w:color w:val="333333"/>
                <w:szCs w:val="22"/>
              </w:rPr>
              <w:t xml:space="preserve"> assessing disability, see the definition in this table. </w:t>
            </w:r>
          </w:p>
        </w:tc>
      </w:tr>
      <w:tr w:rsidR="00F147F0" w:rsidRPr="00A236A8" w14:paraId="1DFA0E29" w14:textId="77777777" w:rsidTr="3524BD2A">
        <w:trPr>
          <w:cantSplit/>
          <w:trHeight w:val="558"/>
        </w:trPr>
        <w:tc>
          <w:tcPr>
            <w:tcW w:w="2307" w:type="dxa"/>
          </w:tcPr>
          <w:p w14:paraId="0545EA6D"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Dwelling</w:t>
            </w:r>
          </w:p>
        </w:tc>
        <w:tc>
          <w:tcPr>
            <w:tcW w:w="6885" w:type="dxa"/>
          </w:tcPr>
          <w:p w14:paraId="663F1AF5"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Any building or structure used, or intended to be used, for human habitation. </w:t>
            </w:r>
          </w:p>
        </w:tc>
      </w:tr>
      <w:tr w:rsidR="00F147F0" w:rsidRPr="00A236A8" w14:paraId="28535870" w14:textId="77777777" w:rsidTr="3524BD2A">
        <w:trPr>
          <w:cantSplit/>
          <w:trHeight w:val="942"/>
        </w:trPr>
        <w:tc>
          <w:tcPr>
            <w:tcW w:w="2307" w:type="dxa"/>
          </w:tcPr>
          <w:p w14:paraId="1CFDF69D"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Environmental factors</w:t>
            </w:r>
          </w:p>
        </w:tc>
        <w:tc>
          <w:tcPr>
            <w:tcW w:w="6885" w:type="dxa"/>
          </w:tcPr>
          <w:p w14:paraId="55EAB5F5" w14:textId="7568F65A"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The physical, social, and attitudinal environment in which people live. These factors are external to the person and can have a positive or negative influence, </w:t>
            </w:r>
            <w:r w:rsidR="007F3A6C">
              <w:rPr>
                <w:rFonts w:asciiTheme="minorHAnsi" w:hAnsiTheme="minorHAnsi" w:cstheme="minorHAnsi"/>
                <w:sz w:val="22"/>
                <w:szCs w:val="22"/>
              </w:rPr>
              <w:t>that is,</w:t>
            </w:r>
            <w:r w:rsidRPr="00A236A8">
              <w:rPr>
                <w:rFonts w:asciiTheme="minorHAnsi" w:hAnsiTheme="minorHAnsi" w:cstheme="minorHAnsi"/>
                <w:sz w:val="22"/>
                <w:szCs w:val="22"/>
              </w:rPr>
              <w:t xml:space="preserve"> they can serve as a facilitator or a barrier for a person</w:t>
            </w:r>
            <w:r w:rsidR="007F3A6C">
              <w:rPr>
                <w:rFonts w:asciiTheme="minorHAnsi" w:hAnsiTheme="minorHAnsi" w:cstheme="minorHAnsi"/>
                <w:sz w:val="22"/>
                <w:szCs w:val="22"/>
              </w:rPr>
              <w:t>’</w:t>
            </w:r>
            <w:r w:rsidRPr="00A236A8">
              <w:rPr>
                <w:rFonts w:asciiTheme="minorHAnsi" w:hAnsiTheme="minorHAnsi" w:cstheme="minorHAnsi"/>
                <w:sz w:val="22"/>
                <w:szCs w:val="22"/>
              </w:rPr>
              <w:t>s functioning.</w:t>
            </w:r>
          </w:p>
        </w:tc>
      </w:tr>
      <w:tr w:rsidR="00F147F0" w:rsidRPr="00A236A8" w14:paraId="6F0226A9" w14:textId="77777777" w:rsidTr="3524BD2A">
        <w:trPr>
          <w:cantSplit/>
          <w:trHeight w:val="749"/>
        </w:trPr>
        <w:tc>
          <w:tcPr>
            <w:tcW w:w="2307" w:type="dxa"/>
          </w:tcPr>
          <w:p w14:paraId="207491C3" w14:textId="77777777" w:rsidR="00F147F0" w:rsidRPr="00A236A8" w:rsidRDefault="00F147F0" w:rsidP="00F147F0">
            <w:pPr>
              <w:spacing w:after="160"/>
              <w:rPr>
                <w:rFonts w:asciiTheme="minorHAnsi" w:hAnsiTheme="minorHAnsi" w:cstheme="minorHAnsi"/>
                <w:b/>
                <w:bCs/>
                <w:sz w:val="22"/>
                <w:szCs w:val="22"/>
              </w:rPr>
            </w:pPr>
            <w:r w:rsidRPr="00A236A8">
              <w:rPr>
                <w:rStyle w:val="Strong"/>
                <w:rFonts w:asciiTheme="minorHAnsi" w:hAnsiTheme="minorHAnsi" w:cstheme="minorHAnsi"/>
                <w:color w:val="333333"/>
                <w:sz w:val="22"/>
                <w:szCs w:val="22"/>
              </w:rPr>
              <w:t>Functional domain</w:t>
            </w:r>
          </w:p>
        </w:tc>
        <w:tc>
          <w:tcPr>
            <w:tcW w:w="6885" w:type="dxa"/>
          </w:tcPr>
          <w:p w14:paraId="3308ADD9" w14:textId="55DFB73F" w:rsidR="00F147F0" w:rsidRPr="007B2AE4" w:rsidRDefault="13CC9F7B" w:rsidP="3524BD2A">
            <w:pPr>
              <w:spacing w:after="160"/>
              <w:rPr>
                <w:rFonts w:asciiTheme="minorHAnsi" w:hAnsiTheme="minorHAnsi" w:cstheme="minorBidi"/>
                <w:b/>
                <w:bCs/>
                <w:sz w:val="22"/>
                <w:szCs w:val="22"/>
              </w:rPr>
            </w:pPr>
            <w:r w:rsidRPr="3524BD2A">
              <w:rPr>
                <w:rStyle w:val="Strong"/>
                <w:rFonts w:asciiTheme="minorHAnsi" w:hAnsiTheme="minorHAnsi" w:cstheme="minorBidi"/>
                <w:b w:val="0"/>
                <w:bCs w:val="0"/>
                <w:color w:val="333333"/>
                <w:sz w:val="22"/>
                <w:szCs w:val="22"/>
              </w:rPr>
              <w:t>An aspect of human functioning that is assessed as part of a method for identifying disabled people in a data collection like a survey (</w:t>
            </w:r>
            <w:r w:rsidR="4A006E62" w:rsidRPr="3524BD2A">
              <w:rPr>
                <w:rStyle w:val="Strong"/>
                <w:rFonts w:asciiTheme="minorHAnsi" w:hAnsiTheme="minorHAnsi" w:cstheme="minorBidi"/>
                <w:b w:val="0"/>
                <w:bCs w:val="0"/>
                <w:color w:val="333333"/>
                <w:sz w:val="22"/>
                <w:szCs w:val="22"/>
              </w:rPr>
              <w:t>f</w:t>
            </w:r>
            <w:r w:rsidR="4A006E62" w:rsidRPr="3524BD2A">
              <w:rPr>
                <w:rStyle w:val="Strong"/>
                <w:b w:val="0"/>
                <w:bCs w:val="0"/>
                <w:color w:val="333333"/>
              </w:rPr>
              <w:t>or example,</w:t>
            </w:r>
            <w:r w:rsidRPr="3524BD2A">
              <w:rPr>
                <w:rStyle w:val="Strong"/>
                <w:rFonts w:asciiTheme="minorHAnsi" w:hAnsiTheme="minorHAnsi" w:cstheme="minorBidi"/>
                <w:b w:val="0"/>
                <w:bCs w:val="0"/>
                <w:color w:val="333333"/>
                <w:sz w:val="22"/>
                <w:szCs w:val="22"/>
              </w:rPr>
              <w:t xml:space="preserve"> seeing, hearing</w:t>
            </w:r>
            <w:r w:rsidR="4A006E62" w:rsidRPr="3524BD2A">
              <w:rPr>
                <w:rStyle w:val="Strong"/>
                <w:rFonts w:asciiTheme="minorHAnsi" w:hAnsiTheme="minorHAnsi" w:cstheme="minorBidi"/>
                <w:b w:val="0"/>
                <w:bCs w:val="0"/>
                <w:color w:val="333333"/>
                <w:sz w:val="22"/>
                <w:szCs w:val="22"/>
              </w:rPr>
              <w:t>,</w:t>
            </w:r>
            <w:r w:rsidRPr="3524BD2A">
              <w:rPr>
                <w:rStyle w:val="Strong"/>
                <w:rFonts w:asciiTheme="minorHAnsi" w:hAnsiTheme="minorHAnsi" w:cstheme="minorBidi"/>
                <w:b w:val="0"/>
                <w:bCs w:val="0"/>
                <w:color w:val="333333"/>
                <w:sz w:val="22"/>
                <w:szCs w:val="22"/>
              </w:rPr>
              <w:t xml:space="preserve"> or walking).</w:t>
            </w:r>
          </w:p>
        </w:tc>
      </w:tr>
      <w:tr w:rsidR="00F147F0" w:rsidRPr="00A236A8" w14:paraId="42D273CD" w14:textId="77777777" w:rsidTr="3524BD2A">
        <w:trPr>
          <w:cantSplit/>
          <w:trHeight w:val="942"/>
        </w:trPr>
        <w:tc>
          <w:tcPr>
            <w:tcW w:w="2307" w:type="dxa"/>
          </w:tcPr>
          <w:p w14:paraId="40921083"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Functioning</w:t>
            </w:r>
          </w:p>
        </w:tc>
        <w:tc>
          <w:tcPr>
            <w:tcW w:w="6885" w:type="dxa"/>
          </w:tcPr>
          <w:p w14:paraId="3E9059D1"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An umbrella term for body function, body structures, activities, and participation. It denotes the positive or neutral aspects of the interaction between a person’s health condition(s) and that individual’s contextual factors (environmental and personal factors).</w:t>
            </w:r>
          </w:p>
        </w:tc>
      </w:tr>
      <w:tr w:rsidR="00F147F0" w:rsidRPr="00A236A8" w14:paraId="2FDCAC5A" w14:textId="77777777" w:rsidTr="3524BD2A">
        <w:trPr>
          <w:cantSplit/>
          <w:trHeight w:val="1154"/>
        </w:trPr>
        <w:tc>
          <w:tcPr>
            <w:tcW w:w="2307" w:type="dxa"/>
          </w:tcPr>
          <w:p w14:paraId="1EB16740"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Gender</w:t>
            </w:r>
          </w:p>
        </w:tc>
        <w:tc>
          <w:tcPr>
            <w:tcW w:w="6885" w:type="dxa"/>
          </w:tcPr>
          <w:p w14:paraId="16D2CBAF" w14:textId="1D0974B4"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A person’s social and personal identity as male, female, or another gender. A person’s current gender may differ from the</w:t>
            </w:r>
            <w:r w:rsidR="00CA4749">
              <w:rPr>
                <w:rFonts w:asciiTheme="minorHAnsi" w:hAnsiTheme="minorHAnsi" w:cstheme="minorHAnsi"/>
                <w:sz w:val="22"/>
                <w:szCs w:val="22"/>
              </w:rPr>
              <w:t>ir</w:t>
            </w:r>
            <w:r w:rsidRPr="00A236A8">
              <w:rPr>
                <w:rFonts w:asciiTheme="minorHAnsi" w:hAnsiTheme="minorHAnsi" w:cstheme="minorHAnsi"/>
                <w:sz w:val="22"/>
                <w:szCs w:val="22"/>
              </w:rPr>
              <w:t xml:space="preserve"> sex recorded at birth</w:t>
            </w:r>
            <w:r w:rsidR="009158D0">
              <w:rPr>
                <w:rFonts w:asciiTheme="minorHAnsi" w:hAnsiTheme="minorHAnsi" w:cstheme="minorHAnsi"/>
                <w:sz w:val="22"/>
                <w:szCs w:val="22"/>
              </w:rPr>
              <w:t>.</w:t>
            </w:r>
            <w:r w:rsidRPr="00A236A8">
              <w:rPr>
                <w:rFonts w:asciiTheme="minorHAnsi" w:hAnsiTheme="minorHAnsi" w:cstheme="minorHAnsi"/>
                <w:sz w:val="22"/>
                <w:szCs w:val="22"/>
              </w:rPr>
              <w:t xml:space="preserve"> The HDS collected gender, rather than sex, in alignment with the ‘gender by default’ principle in the </w:t>
            </w:r>
            <w:hyperlink r:id="rId43" w:history="1">
              <w:r w:rsidRPr="00A236A8">
                <w:rPr>
                  <w:rStyle w:val="Hyperlink"/>
                  <w:rFonts w:cstheme="minorHAnsi"/>
                  <w:szCs w:val="22"/>
                </w:rPr>
                <w:t>data standard for gender, sex, and variations of sex characteristics</w:t>
              </w:r>
            </w:hyperlink>
            <w:r w:rsidRPr="00A236A8">
              <w:rPr>
                <w:rStyle w:val="Hyperlink"/>
                <w:rFonts w:cstheme="minorHAnsi"/>
                <w:szCs w:val="22"/>
              </w:rPr>
              <w:t>.</w:t>
            </w:r>
          </w:p>
        </w:tc>
      </w:tr>
      <w:tr w:rsidR="00F147F0" w:rsidRPr="00A236A8" w14:paraId="23CF00AB" w14:textId="77777777" w:rsidTr="3524BD2A">
        <w:trPr>
          <w:cantSplit/>
          <w:trHeight w:val="1365"/>
        </w:trPr>
        <w:tc>
          <w:tcPr>
            <w:tcW w:w="2307" w:type="dxa"/>
          </w:tcPr>
          <w:p w14:paraId="3FCCBFE1" w14:textId="77777777" w:rsidR="00F147F0" w:rsidRPr="00A236A8" w:rsidRDefault="00F147F0" w:rsidP="00F147F0">
            <w:pPr>
              <w:spacing w:after="160"/>
              <w:rPr>
                <w:rStyle w:val="Strong"/>
                <w:rFonts w:asciiTheme="minorHAnsi" w:hAnsiTheme="minorHAnsi" w:cstheme="minorHAnsi"/>
                <w:color w:val="333333"/>
                <w:sz w:val="22"/>
                <w:szCs w:val="22"/>
              </w:rPr>
            </w:pPr>
            <w:r w:rsidRPr="00A236A8">
              <w:rPr>
                <w:rStyle w:val="Strong"/>
                <w:rFonts w:asciiTheme="minorHAnsi" w:hAnsiTheme="minorHAnsi" w:cstheme="minorHAnsi"/>
                <w:color w:val="333333"/>
                <w:sz w:val="22"/>
                <w:szCs w:val="22"/>
              </w:rPr>
              <w:t>Household</w:t>
            </w:r>
          </w:p>
        </w:tc>
        <w:tc>
          <w:tcPr>
            <w:tcW w:w="6885" w:type="dxa"/>
          </w:tcPr>
          <w:p w14:paraId="2CE9E3A5" w14:textId="62538496" w:rsidR="00F147F0" w:rsidRPr="00A236A8" w:rsidRDefault="00F147F0" w:rsidP="00F147F0">
            <w:pPr>
              <w:spacing w:after="160"/>
              <w:rPr>
                <w:rStyle w:val="Strong"/>
                <w:rFonts w:asciiTheme="minorHAnsi" w:hAnsiTheme="minorHAnsi" w:cstheme="minorHAnsi"/>
                <w:color w:val="333333"/>
                <w:sz w:val="22"/>
                <w:szCs w:val="22"/>
              </w:rPr>
            </w:pPr>
            <w:r w:rsidRPr="00A236A8">
              <w:rPr>
                <w:rFonts w:asciiTheme="minorHAnsi" w:hAnsiTheme="minorHAnsi" w:cstheme="minorHAnsi"/>
                <w:sz w:val="22"/>
                <w:szCs w:val="22"/>
              </w:rPr>
              <w:t xml:space="preserve">Either one person who usually lives alone, or two or more people who usually live together and share facilities (such as for eating, cooking, or a living area; and bathroom and toilet). For the </w:t>
            </w:r>
            <w:r w:rsidR="00A3054F">
              <w:rPr>
                <w:rFonts w:asciiTheme="minorHAnsi" w:hAnsiTheme="minorHAnsi" w:cstheme="minorHAnsi"/>
                <w:sz w:val="22"/>
                <w:szCs w:val="22"/>
              </w:rPr>
              <w:t xml:space="preserve">2023 </w:t>
            </w:r>
            <w:r w:rsidRPr="00A236A8">
              <w:rPr>
                <w:rFonts w:asciiTheme="minorHAnsi" w:hAnsiTheme="minorHAnsi" w:cstheme="minorHAnsi"/>
                <w:sz w:val="22"/>
                <w:szCs w:val="22"/>
              </w:rPr>
              <w:t>Census</w:t>
            </w:r>
            <w:r w:rsidR="00707E0D">
              <w:rPr>
                <w:rFonts w:asciiTheme="minorHAnsi" w:hAnsiTheme="minorHAnsi" w:cstheme="minorHAnsi"/>
                <w:sz w:val="22"/>
                <w:szCs w:val="22"/>
              </w:rPr>
              <w:t>,</w:t>
            </w:r>
            <w:r w:rsidRPr="00A236A8">
              <w:rPr>
                <w:rFonts w:asciiTheme="minorHAnsi" w:hAnsiTheme="minorHAnsi" w:cstheme="minorHAnsi"/>
                <w:sz w:val="22"/>
                <w:szCs w:val="22"/>
              </w:rPr>
              <w:t xml:space="preserve"> a household must be living in a private dwelling.</w:t>
            </w:r>
            <w:r w:rsidRPr="00A236A8">
              <w:rPr>
                <w:rStyle w:val="Strong"/>
                <w:rFonts w:asciiTheme="minorHAnsi" w:hAnsiTheme="minorHAnsi" w:cstheme="minorHAnsi"/>
                <w:color w:val="333333"/>
                <w:sz w:val="22"/>
                <w:szCs w:val="22"/>
              </w:rPr>
              <w:t xml:space="preserve"> For the HDS</w:t>
            </w:r>
            <w:r w:rsidR="005631B5">
              <w:rPr>
                <w:rStyle w:val="Strong"/>
                <w:rFonts w:asciiTheme="minorHAnsi" w:hAnsiTheme="minorHAnsi" w:cstheme="minorHAnsi"/>
                <w:color w:val="333333"/>
                <w:sz w:val="22"/>
                <w:szCs w:val="22"/>
              </w:rPr>
              <w:t>,</w:t>
            </w:r>
            <w:r w:rsidRPr="00A236A8">
              <w:rPr>
                <w:rStyle w:val="Strong"/>
                <w:rFonts w:asciiTheme="minorHAnsi" w:hAnsiTheme="minorHAnsi" w:cstheme="minorHAnsi"/>
                <w:color w:val="333333"/>
                <w:sz w:val="22"/>
                <w:szCs w:val="22"/>
              </w:rPr>
              <w:t xml:space="preserve"> people living together in a residential and community care facility </w:t>
            </w:r>
            <w:r w:rsidR="00387519">
              <w:rPr>
                <w:rStyle w:val="Strong"/>
                <w:rFonts w:asciiTheme="minorHAnsi" w:hAnsiTheme="minorHAnsi" w:cstheme="minorHAnsi"/>
                <w:color w:val="333333"/>
                <w:sz w:val="22"/>
                <w:szCs w:val="22"/>
              </w:rPr>
              <w:t>w</w:t>
            </w:r>
            <w:r w:rsidR="00387519">
              <w:rPr>
                <w:rStyle w:val="Strong"/>
                <w:rFonts w:cstheme="minorHAnsi"/>
              </w:rPr>
              <w:t>e</w:t>
            </w:r>
            <w:r w:rsidRPr="00A236A8">
              <w:rPr>
                <w:rStyle w:val="Strong"/>
                <w:rFonts w:asciiTheme="minorHAnsi" w:hAnsiTheme="minorHAnsi" w:cstheme="minorHAnsi"/>
                <w:color w:val="333333"/>
                <w:sz w:val="22"/>
                <w:szCs w:val="22"/>
              </w:rPr>
              <w:t>re also treated as a household.</w:t>
            </w:r>
          </w:p>
        </w:tc>
      </w:tr>
      <w:tr w:rsidR="00F147F0" w:rsidRPr="00A236A8" w14:paraId="4F3E6622" w14:textId="77777777" w:rsidTr="3524BD2A">
        <w:trPr>
          <w:cantSplit/>
          <w:trHeight w:val="538"/>
        </w:trPr>
        <w:tc>
          <w:tcPr>
            <w:tcW w:w="2307" w:type="dxa"/>
          </w:tcPr>
          <w:p w14:paraId="57595DC9" w14:textId="77777777" w:rsidR="00F147F0" w:rsidRPr="00A236A8" w:rsidRDefault="00F147F0" w:rsidP="00F147F0">
            <w:pPr>
              <w:spacing w:after="160"/>
              <w:rPr>
                <w:rStyle w:val="Strong"/>
                <w:rFonts w:asciiTheme="minorHAnsi" w:hAnsiTheme="minorHAnsi" w:cstheme="minorHAnsi"/>
                <w:b w:val="0"/>
                <w:bCs w:val="0"/>
                <w:color w:val="333333"/>
                <w:sz w:val="22"/>
                <w:szCs w:val="22"/>
              </w:rPr>
            </w:pPr>
            <w:r w:rsidRPr="00A236A8">
              <w:rPr>
                <w:rFonts w:asciiTheme="minorHAnsi" w:hAnsiTheme="minorHAnsi" w:cstheme="minorHAnsi"/>
                <w:b/>
                <w:bCs/>
                <w:sz w:val="22"/>
                <w:szCs w:val="22"/>
              </w:rPr>
              <w:t>Impairments</w:t>
            </w:r>
          </w:p>
        </w:tc>
        <w:tc>
          <w:tcPr>
            <w:tcW w:w="6885" w:type="dxa"/>
          </w:tcPr>
          <w:p w14:paraId="1A6FD4AB" w14:textId="77777777" w:rsidR="00F147F0" w:rsidRPr="00A236A8" w:rsidRDefault="00F147F0" w:rsidP="00F147F0">
            <w:pPr>
              <w:spacing w:after="160"/>
              <w:rPr>
                <w:rStyle w:val="Strong"/>
                <w:rFonts w:asciiTheme="minorHAnsi" w:hAnsiTheme="minorHAnsi" w:cstheme="minorHAnsi"/>
                <w:color w:val="333333"/>
                <w:sz w:val="22"/>
                <w:szCs w:val="22"/>
              </w:rPr>
            </w:pPr>
            <w:r w:rsidRPr="00A236A8">
              <w:rPr>
                <w:rFonts w:asciiTheme="minorHAnsi" w:hAnsiTheme="minorHAnsi" w:cstheme="minorHAnsi"/>
                <w:sz w:val="22"/>
                <w:szCs w:val="22"/>
              </w:rPr>
              <w:t xml:space="preserve">Problems in body function and/or structure such as significant deviation from statistical norms. </w:t>
            </w:r>
          </w:p>
        </w:tc>
      </w:tr>
      <w:tr w:rsidR="00F147F0" w:rsidRPr="00040CD4" w14:paraId="04FB9759" w14:textId="77777777" w:rsidTr="3524BD2A">
        <w:trPr>
          <w:cantSplit/>
          <w:trHeight w:val="1615"/>
        </w:trPr>
        <w:tc>
          <w:tcPr>
            <w:tcW w:w="2307" w:type="dxa"/>
          </w:tcPr>
          <w:p w14:paraId="469D5D72" w14:textId="210720F1" w:rsidR="00756446" w:rsidRPr="00040CD4" w:rsidRDefault="00F147F0" w:rsidP="00756446">
            <w:pPr>
              <w:spacing w:after="160"/>
              <w:rPr>
                <w:rFonts w:cstheme="minorHAnsi"/>
                <w:b/>
                <w:bCs/>
                <w:sz w:val="22"/>
                <w:szCs w:val="22"/>
              </w:rPr>
            </w:pPr>
            <w:r w:rsidRPr="00040CD4">
              <w:rPr>
                <w:rFonts w:cstheme="minorHAnsi"/>
                <w:b/>
                <w:bCs/>
                <w:sz w:val="22"/>
                <w:szCs w:val="22"/>
              </w:rPr>
              <w:t>Intellectual disability</w:t>
            </w:r>
            <w:r w:rsidR="006675B4">
              <w:rPr>
                <w:rFonts w:cstheme="minorHAnsi"/>
                <w:b/>
                <w:bCs/>
                <w:sz w:val="22"/>
                <w:szCs w:val="22"/>
              </w:rPr>
              <w:t xml:space="preserve"> </w:t>
            </w:r>
            <w:r w:rsidR="00F803B3">
              <w:rPr>
                <w:rFonts w:cstheme="minorHAnsi"/>
                <w:b/>
                <w:bCs/>
                <w:sz w:val="22"/>
                <w:szCs w:val="22"/>
              </w:rPr>
              <w:t>or l</w:t>
            </w:r>
            <w:r w:rsidR="00756446" w:rsidRPr="00040CD4">
              <w:rPr>
                <w:rFonts w:cstheme="minorHAnsi"/>
                <w:b/>
                <w:bCs/>
                <w:sz w:val="22"/>
                <w:szCs w:val="22"/>
              </w:rPr>
              <w:t xml:space="preserve">earning </w:t>
            </w:r>
            <w:r w:rsidR="00756446">
              <w:rPr>
                <w:rFonts w:cstheme="minorHAnsi"/>
                <w:b/>
                <w:bCs/>
                <w:sz w:val="22"/>
                <w:szCs w:val="22"/>
              </w:rPr>
              <w:t xml:space="preserve">disability </w:t>
            </w:r>
          </w:p>
          <w:p w14:paraId="7DF687CA" w14:textId="77777777" w:rsidR="00756446" w:rsidRPr="00040CD4" w:rsidRDefault="00756446" w:rsidP="00F147F0">
            <w:pPr>
              <w:spacing w:after="160"/>
              <w:rPr>
                <w:rFonts w:cstheme="minorHAnsi"/>
                <w:b/>
                <w:bCs/>
                <w:sz w:val="22"/>
                <w:szCs w:val="22"/>
              </w:rPr>
            </w:pPr>
          </w:p>
        </w:tc>
        <w:tc>
          <w:tcPr>
            <w:tcW w:w="6885" w:type="dxa"/>
          </w:tcPr>
          <w:p w14:paraId="75C440EC" w14:textId="4AC1B338" w:rsidR="00756446" w:rsidRPr="00040CD4" w:rsidRDefault="4A3F17AA" w:rsidP="3524BD2A">
            <w:pPr>
              <w:rPr>
                <w:rFonts w:cstheme="minorBidi"/>
                <w:sz w:val="22"/>
                <w:szCs w:val="22"/>
              </w:rPr>
            </w:pPr>
            <w:r w:rsidRPr="3524BD2A">
              <w:rPr>
                <w:rFonts w:cstheme="minorBidi"/>
                <w:sz w:val="22"/>
                <w:szCs w:val="22"/>
              </w:rPr>
              <w:t>The term ‘learning disability’ is often used and preferred over the term ‘intellectual disability’. However, the HDS uses the term ‘intellectual disability’ because it remains in use in N</w:t>
            </w:r>
            <w:r w:rsidR="30CC8C22" w:rsidRPr="3524BD2A">
              <w:rPr>
                <w:rFonts w:cstheme="minorBidi"/>
                <w:sz w:val="22"/>
                <w:szCs w:val="22"/>
              </w:rPr>
              <w:t xml:space="preserve">ew </w:t>
            </w:r>
            <w:r w:rsidRPr="3524BD2A">
              <w:rPr>
                <w:rFonts w:cstheme="minorBidi"/>
                <w:sz w:val="22"/>
                <w:szCs w:val="22"/>
              </w:rPr>
              <w:t>Z</w:t>
            </w:r>
            <w:r w:rsidR="30CC8C22" w:rsidRPr="3524BD2A">
              <w:rPr>
                <w:rFonts w:cstheme="minorBidi"/>
                <w:sz w:val="22"/>
                <w:szCs w:val="22"/>
              </w:rPr>
              <w:t>ealand</w:t>
            </w:r>
            <w:r w:rsidRPr="3524BD2A">
              <w:rPr>
                <w:rFonts w:cstheme="minorBidi"/>
                <w:sz w:val="22"/>
                <w:szCs w:val="22"/>
              </w:rPr>
              <w:t xml:space="preserve"> (particularly in legislation and eligibility for services), and to avoid confusion with the HDS’s learning functional domain. The learning domain indicates difficulty with </w:t>
            </w:r>
            <w:r w:rsidR="6395FEF2" w:rsidRPr="3524BD2A">
              <w:rPr>
                <w:rFonts w:cstheme="minorBidi"/>
                <w:sz w:val="22"/>
                <w:szCs w:val="22"/>
              </w:rPr>
              <w:t>the skills required to learn</w:t>
            </w:r>
            <w:r w:rsidRPr="3524BD2A">
              <w:rPr>
                <w:rFonts w:cstheme="minorBidi"/>
                <w:sz w:val="22"/>
                <w:szCs w:val="22"/>
              </w:rPr>
              <w:t xml:space="preserve"> and is not </w:t>
            </w:r>
            <w:r w:rsidR="6395FEF2" w:rsidRPr="3524BD2A">
              <w:rPr>
                <w:rFonts w:cstheme="minorBidi"/>
                <w:sz w:val="22"/>
                <w:szCs w:val="22"/>
              </w:rPr>
              <w:t xml:space="preserve">about </w:t>
            </w:r>
            <w:r w:rsidRPr="3524BD2A">
              <w:rPr>
                <w:rFonts w:cstheme="minorBidi"/>
                <w:sz w:val="22"/>
                <w:szCs w:val="22"/>
              </w:rPr>
              <w:t xml:space="preserve">intellectual </w:t>
            </w:r>
            <w:r w:rsidR="6395FEF2" w:rsidRPr="3524BD2A">
              <w:rPr>
                <w:rFonts w:cstheme="minorBidi"/>
                <w:sz w:val="22"/>
                <w:szCs w:val="22"/>
              </w:rPr>
              <w:t>functioning or adaptive behaviour.</w:t>
            </w:r>
          </w:p>
        </w:tc>
      </w:tr>
      <w:tr w:rsidR="00F147F0" w:rsidRPr="00A236A8" w14:paraId="3B55A956" w14:textId="77777777" w:rsidTr="3524BD2A">
        <w:trPr>
          <w:cantSplit/>
          <w:trHeight w:val="2057"/>
        </w:trPr>
        <w:tc>
          <w:tcPr>
            <w:tcW w:w="2307" w:type="dxa"/>
          </w:tcPr>
          <w:p w14:paraId="42E9DD51"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LGBTIQ+ population</w:t>
            </w:r>
          </w:p>
        </w:tc>
        <w:tc>
          <w:tcPr>
            <w:tcW w:w="6885" w:type="dxa"/>
          </w:tcPr>
          <w:p w14:paraId="5D019D1D" w14:textId="26C9D6B0" w:rsidR="00114737"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Adults who reported</w:t>
            </w:r>
            <w:r w:rsidR="001B2047">
              <w:rPr>
                <w:rFonts w:asciiTheme="minorHAnsi" w:hAnsiTheme="minorHAnsi" w:cstheme="minorHAnsi"/>
                <w:sz w:val="22"/>
                <w:szCs w:val="22"/>
              </w:rPr>
              <w:t xml:space="preserve"> </w:t>
            </w:r>
            <w:r w:rsidR="00B06D27">
              <w:rPr>
                <w:rFonts w:asciiTheme="minorHAnsi" w:hAnsiTheme="minorHAnsi" w:cstheme="minorHAnsi"/>
                <w:sz w:val="22"/>
                <w:szCs w:val="22"/>
              </w:rPr>
              <w:t>any of the following</w:t>
            </w:r>
            <w:r w:rsidR="001B2047">
              <w:rPr>
                <w:rFonts w:asciiTheme="minorHAnsi" w:hAnsiTheme="minorHAnsi" w:cstheme="minorHAnsi"/>
                <w:sz w:val="22"/>
                <w:szCs w:val="22"/>
              </w:rPr>
              <w:t xml:space="preserve"> </w:t>
            </w:r>
            <w:r w:rsidRPr="00A236A8">
              <w:rPr>
                <w:rFonts w:asciiTheme="minorHAnsi" w:hAnsiTheme="minorHAnsi" w:cstheme="minorHAnsi"/>
                <w:sz w:val="22"/>
                <w:szCs w:val="22"/>
              </w:rPr>
              <w:t xml:space="preserve">in the </w:t>
            </w:r>
            <w:r w:rsidR="0020049F">
              <w:rPr>
                <w:rFonts w:asciiTheme="minorHAnsi" w:hAnsiTheme="minorHAnsi" w:cstheme="minorHAnsi"/>
                <w:sz w:val="22"/>
                <w:szCs w:val="22"/>
              </w:rPr>
              <w:t>2023 C</w:t>
            </w:r>
            <w:r w:rsidRPr="00A236A8">
              <w:rPr>
                <w:rFonts w:asciiTheme="minorHAnsi" w:hAnsiTheme="minorHAnsi" w:cstheme="minorHAnsi"/>
                <w:sz w:val="22"/>
                <w:szCs w:val="22"/>
              </w:rPr>
              <w:t>ensus</w:t>
            </w:r>
            <w:r w:rsidR="00114737">
              <w:rPr>
                <w:rFonts w:asciiTheme="minorHAnsi" w:hAnsiTheme="minorHAnsi" w:cstheme="minorHAnsi"/>
                <w:sz w:val="22"/>
                <w:szCs w:val="22"/>
              </w:rPr>
              <w:t xml:space="preserve">: </w:t>
            </w:r>
          </w:p>
          <w:p w14:paraId="7959D5EA" w14:textId="298789AE" w:rsidR="006B042C" w:rsidRDefault="006B042C" w:rsidP="006B042C">
            <w:pPr>
              <w:pStyle w:val="ListParagraph"/>
              <w:numPr>
                <w:ilvl w:val="0"/>
                <w:numId w:val="24"/>
              </w:numPr>
              <w:spacing w:after="160"/>
              <w:rPr>
                <w:rFonts w:asciiTheme="minorHAnsi" w:hAnsiTheme="minorHAnsi" w:cstheme="minorHAnsi"/>
                <w:szCs w:val="22"/>
              </w:rPr>
            </w:pPr>
            <w:r>
              <w:rPr>
                <w:rFonts w:asciiTheme="minorHAnsi" w:hAnsiTheme="minorHAnsi" w:cstheme="minorHAnsi"/>
                <w:szCs w:val="22"/>
              </w:rPr>
              <w:t>a gender that was not male or female</w:t>
            </w:r>
          </w:p>
          <w:p w14:paraId="6193977B" w14:textId="4FB9A0AA" w:rsidR="006B042C" w:rsidRPr="00B4206B" w:rsidRDefault="00B4206B" w:rsidP="006B042C">
            <w:pPr>
              <w:pStyle w:val="ListParagraph"/>
              <w:numPr>
                <w:ilvl w:val="0"/>
                <w:numId w:val="24"/>
              </w:numPr>
              <w:spacing w:after="160"/>
              <w:rPr>
                <w:rFonts w:asciiTheme="minorHAnsi" w:hAnsiTheme="minorHAnsi" w:cstheme="minorHAnsi"/>
                <w:szCs w:val="22"/>
              </w:rPr>
            </w:pPr>
            <w:r w:rsidRPr="00A236A8">
              <w:rPr>
                <w:rFonts w:asciiTheme="minorHAnsi" w:hAnsiTheme="minorHAnsi" w:cstheme="minorHAnsi"/>
                <w:sz w:val="22"/>
                <w:szCs w:val="22"/>
              </w:rPr>
              <w:t>a sexual identity that was homosexual, bisexual, another identity that was not heterosexual (straight)</w:t>
            </w:r>
          </w:p>
          <w:p w14:paraId="6D78B3A8" w14:textId="2FF7FB73" w:rsidR="001B2047" w:rsidRDefault="00F147F0" w:rsidP="00F147F0">
            <w:pPr>
              <w:pStyle w:val="ListParagraph"/>
              <w:numPr>
                <w:ilvl w:val="0"/>
                <w:numId w:val="24"/>
              </w:numPr>
              <w:spacing w:after="160"/>
              <w:rPr>
                <w:rFonts w:asciiTheme="minorHAnsi" w:hAnsiTheme="minorHAnsi" w:cstheme="minorHAnsi"/>
                <w:szCs w:val="22"/>
              </w:rPr>
            </w:pPr>
            <w:r w:rsidRPr="00B4206B">
              <w:rPr>
                <w:rFonts w:asciiTheme="minorHAnsi" w:hAnsiTheme="minorHAnsi" w:cstheme="minorHAnsi"/>
                <w:szCs w:val="22"/>
              </w:rPr>
              <w:t>a gender that was different to what was recorded for their sex at birth</w:t>
            </w:r>
          </w:p>
          <w:p w14:paraId="20DC37CE" w14:textId="6604D2F6" w:rsidR="00F147F0" w:rsidRPr="00B4206B" w:rsidRDefault="001B2047" w:rsidP="00F147F0">
            <w:pPr>
              <w:pStyle w:val="ListParagraph"/>
              <w:numPr>
                <w:ilvl w:val="0"/>
                <w:numId w:val="24"/>
              </w:numPr>
              <w:spacing w:after="160"/>
              <w:rPr>
                <w:rFonts w:asciiTheme="minorHAnsi" w:hAnsiTheme="minorHAnsi" w:cstheme="minorHAnsi"/>
                <w:szCs w:val="22"/>
              </w:rPr>
            </w:pPr>
            <w:r>
              <w:rPr>
                <w:rFonts w:asciiTheme="minorHAnsi" w:hAnsiTheme="minorHAnsi" w:cstheme="minorHAnsi"/>
                <w:szCs w:val="22"/>
              </w:rPr>
              <w:t xml:space="preserve">a </w:t>
            </w:r>
            <w:r w:rsidR="00F147F0" w:rsidRPr="00B4206B">
              <w:rPr>
                <w:rFonts w:asciiTheme="minorHAnsi" w:hAnsiTheme="minorHAnsi" w:cstheme="minorHAnsi"/>
                <w:szCs w:val="22"/>
              </w:rPr>
              <w:t xml:space="preserve">variation of sex characteristics (innate genetic, hormonal, or physical sex characteristics that do not conform to medical norms for female or male bodies). </w:t>
            </w:r>
          </w:p>
        </w:tc>
      </w:tr>
      <w:tr w:rsidR="00F147F0" w:rsidRPr="00A236A8" w14:paraId="5FACA9FF" w14:textId="77777777" w:rsidTr="3524BD2A">
        <w:trPr>
          <w:cantSplit/>
          <w:trHeight w:val="326"/>
        </w:trPr>
        <w:tc>
          <w:tcPr>
            <w:tcW w:w="2307" w:type="dxa"/>
          </w:tcPr>
          <w:p w14:paraId="604E175D"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Long-term</w:t>
            </w:r>
          </w:p>
        </w:tc>
        <w:tc>
          <w:tcPr>
            <w:tcW w:w="6885" w:type="dxa"/>
          </w:tcPr>
          <w:p w14:paraId="2EE343CC" w14:textId="283DF1DC" w:rsidR="00F147F0" w:rsidRPr="00A236A8" w:rsidRDefault="00B569F5" w:rsidP="00F147F0">
            <w:pPr>
              <w:spacing w:after="160"/>
              <w:rPr>
                <w:rFonts w:asciiTheme="minorHAnsi" w:hAnsiTheme="minorHAnsi" w:cstheme="minorHAnsi"/>
                <w:sz w:val="22"/>
                <w:szCs w:val="22"/>
              </w:rPr>
            </w:pPr>
            <w:r>
              <w:rPr>
                <w:rFonts w:asciiTheme="minorHAnsi" w:hAnsiTheme="minorHAnsi" w:cstheme="minorHAnsi"/>
                <w:sz w:val="22"/>
                <w:szCs w:val="22"/>
              </w:rPr>
              <w:t>Six</w:t>
            </w:r>
            <w:r w:rsidR="00F147F0" w:rsidRPr="00A236A8">
              <w:rPr>
                <w:rFonts w:asciiTheme="minorHAnsi" w:hAnsiTheme="minorHAnsi" w:cstheme="minorHAnsi"/>
                <w:sz w:val="22"/>
                <w:szCs w:val="22"/>
              </w:rPr>
              <w:t xml:space="preserve"> months or more</w:t>
            </w:r>
            <w:r>
              <w:rPr>
                <w:rFonts w:asciiTheme="minorHAnsi" w:hAnsiTheme="minorHAnsi" w:cstheme="minorHAnsi"/>
                <w:sz w:val="22"/>
                <w:szCs w:val="22"/>
              </w:rPr>
              <w:t>.</w:t>
            </w:r>
          </w:p>
        </w:tc>
      </w:tr>
      <w:tr w:rsidR="00F147F0" w:rsidRPr="00A236A8" w14:paraId="74DF8ED2" w14:textId="77777777" w:rsidTr="3524BD2A">
        <w:trPr>
          <w:cantSplit/>
          <w:trHeight w:val="558"/>
        </w:trPr>
        <w:tc>
          <w:tcPr>
            <w:tcW w:w="2307" w:type="dxa"/>
          </w:tcPr>
          <w:p w14:paraId="7E028103"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Participation</w:t>
            </w:r>
          </w:p>
        </w:tc>
        <w:tc>
          <w:tcPr>
            <w:tcW w:w="6885" w:type="dxa"/>
          </w:tcPr>
          <w:p w14:paraId="411C4714" w14:textId="580E00B6"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Involvement in a life situation such as education, employment</w:t>
            </w:r>
            <w:r w:rsidR="0090264B">
              <w:rPr>
                <w:rFonts w:asciiTheme="minorHAnsi" w:hAnsiTheme="minorHAnsi" w:cstheme="minorHAnsi"/>
                <w:sz w:val="22"/>
                <w:szCs w:val="22"/>
              </w:rPr>
              <w:t>,</w:t>
            </w:r>
            <w:r w:rsidRPr="00A236A8">
              <w:rPr>
                <w:rFonts w:asciiTheme="minorHAnsi" w:hAnsiTheme="minorHAnsi" w:cstheme="minorHAnsi"/>
                <w:sz w:val="22"/>
                <w:szCs w:val="22"/>
              </w:rPr>
              <w:t xml:space="preserve"> or leisure.</w:t>
            </w:r>
          </w:p>
        </w:tc>
      </w:tr>
      <w:tr w:rsidR="00F147F0" w:rsidRPr="00A236A8" w14:paraId="345E4E49" w14:textId="77777777" w:rsidTr="3524BD2A">
        <w:trPr>
          <w:cantSplit/>
          <w:trHeight w:val="538"/>
        </w:trPr>
        <w:tc>
          <w:tcPr>
            <w:tcW w:w="2307" w:type="dxa"/>
          </w:tcPr>
          <w:p w14:paraId="3F771636"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Participation</w:t>
            </w:r>
            <w:r w:rsidRPr="00A236A8">
              <w:rPr>
                <w:rFonts w:asciiTheme="minorHAnsi" w:hAnsiTheme="minorHAnsi" w:cstheme="minorHAnsi"/>
                <w:sz w:val="22"/>
                <w:szCs w:val="22"/>
              </w:rPr>
              <w:t xml:space="preserve"> </w:t>
            </w:r>
            <w:r w:rsidRPr="00A236A8">
              <w:rPr>
                <w:rFonts w:asciiTheme="minorHAnsi" w:hAnsiTheme="minorHAnsi" w:cstheme="minorHAnsi"/>
                <w:b/>
                <w:bCs/>
                <w:sz w:val="22"/>
                <w:szCs w:val="22"/>
              </w:rPr>
              <w:t>restrictions</w:t>
            </w:r>
            <w:r w:rsidRPr="00A236A8">
              <w:rPr>
                <w:rFonts w:asciiTheme="minorHAnsi" w:hAnsiTheme="minorHAnsi" w:cstheme="minorHAnsi"/>
                <w:sz w:val="22"/>
                <w:szCs w:val="22"/>
              </w:rPr>
              <w:t xml:space="preserve"> </w:t>
            </w:r>
          </w:p>
        </w:tc>
        <w:tc>
          <w:tcPr>
            <w:tcW w:w="6885" w:type="dxa"/>
          </w:tcPr>
          <w:p w14:paraId="569BDC46"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Difficulty with involvement in life situations.</w:t>
            </w:r>
          </w:p>
        </w:tc>
      </w:tr>
      <w:tr w:rsidR="00F147F0" w:rsidRPr="00A236A8" w14:paraId="134381C2" w14:textId="77777777" w:rsidTr="3524BD2A">
        <w:trPr>
          <w:cantSplit/>
          <w:trHeight w:val="1154"/>
        </w:trPr>
        <w:tc>
          <w:tcPr>
            <w:tcW w:w="2307" w:type="dxa"/>
          </w:tcPr>
          <w:p w14:paraId="20EE0CBB" w14:textId="77777777"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Personal factors</w:t>
            </w:r>
          </w:p>
        </w:tc>
        <w:tc>
          <w:tcPr>
            <w:tcW w:w="6885" w:type="dxa"/>
          </w:tcPr>
          <w:p w14:paraId="676B1CFA" w14:textId="3153D084"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The background of a person's life and living situation. Th</w:t>
            </w:r>
            <w:r>
              <w:rPr>
                <w:rFonts w:asciiTheme="minorHAnsi" w:hAnsiTheme="minorHAnsi" w:cstheme="minorHAnsi"/>
                <w:sz w:val="22"/>
                <w:szCs w:val="22"/>
              </w:rPr>
              <w:t>is</w:t>
            </w:r>
            <w:r w:rsidRPr="00A236A8">
              <w:rPr>
                <w:rFonts w:asciiTheme="minorHAnsi" w:hAnsiTheme="minorHAnsi" w:cstheme="minorHAnsi"/>
                <w:sz w:val="22"/>
                <w:szCs w:val="22"/>
              </w:rPr>
              <w:t xml:space="preserve"> may include</w:t>
            </w:r>
            <w:r w:rsidR="00F87DE8">
              <w:rPr>
                <w:rFonts w:asciiTheme="minorHAnsi" w:hAnsiTheme="minorHAnsi" w:cstheme="minorHAnsi"/>
                <w:sz w:val="22"/>
                <w:szCs w:val="22"/>
              </w:rPr>
              <w:t>,</w:t>
            </w:r>
            <w:r w:rsidRPr="00A236A8">
              <w:rPr>
                <w:rFonts w:asciiTheme="minorHAnsi" w:hAnsiTheme="minorHAnsi" w:cstheme="minorHAnsi"/>
                <w:sz w:val="22"/>
                <w:szCs w:val="22"/>
              </w:rPr>
              <w:t xml:space="preserve"> but </w:t>
            </w:r>
            <w:r>
              <w:rPr>
                <w:rFonts w:asciiTheme="minorHAnsi" w:hAnsiTheme="minorHAnsi" w:cstheme="minorHAnsi"/>
                <w:sz w:val="22"/>
                <w:szCs w:val="22"/>
              </w:rPr>
              <w:t>is</w:t>
            </w:r>
            <w:r w:rsidRPr="00A236A8">
              <w:rPr>
                <w:rFonts w:asciiTheme="minorHAnsi" w:hAnsiTheme="minorHAnsi" w:cstheme="minorHAnsi"/>
                <w:sz w:val="22"/>
                <w:szCs w:val="22"/>
              </w:rPr>
              <w:t xml:space="preserve"> not limited to</w:t>
            </w:r>
            <w:r w:rsidR="008D60B1">
              <w:rPr>
                <w:rFonts w:asciiTheme="minorHAnsi" w:hAnsiTheme="minorHAnsi" w:cstheme="minorHAnsi"/>
                <w:sz w:val="22"/>
                <w:szCs w:val="22"/>
              </w:rPr>
              <w:t>,</w:t>
            </w:r>
            <w:r w:rsidRPr="00A236A8">
              <w:rPr>
                <w:rFonts w:asciiTheme="minorHAnsi" w:hAnsiTheme="minorHAnsi" w:cstheme="minorHAnsi"/>
                <w:sz w:val="22"/>
                <w:szCs w:val="22"/>
              </w:rPr>
              <w:t xml:space="preserve"> gender, age, race, fitness, lifestyle, habits, and social background. Personal factors can have a positive or negative impact on a person's body functions and structures, and activities and participation.</w:t>
            </w:r>
          </w:p>
        </w:tc>
      </w:tr>
      <w:tr w:rsidR="00F147F0" w:rsidRPr="00A236A8" w14:paraId="216A3F2D" w14:textId="77777777" w:rsidTr="3524BD2A">
        <w:trPr>
          <w:cantSplit/>
          <w:trHeight w:val="720"/>
        </w:trPr>
        <w:tc>
          <w:tcPr>
            <w:tcW w:w="2307" w:type="dxa"/>
          </w:tcPr>
          <w:p w14:paraId="1FD5A846" w14:textId="6B74492E" w:rsidR="00F147F0" w:rsidRPr="00A236A8" w:rsidRDefault="00F147F0" w:rsidP="00F147F0">
            <w:pPr>
              <w:spacing w:after="160"/>
              <w:rPr>
                <w:rFonts w:asciiTheme="minorHAnsi" w:hAnsiTheme="minorHAnsi" w:cstheme="minorHAnsi"/>
                <w:b/>
                <w:bCs/>
                <w:sz w:val="22"/>
                <w:szCs w:val="22"/>
              </w:rPr>
            </w:pPr>
            <w:r w:rsidRPr="00A236A8">
              <w:rPr>
                <w:rFonts w:asciiTheme="minorHAnsi" w:hAnsiTheme="minorHAnsi" w:cstheme="minorHAnsi"/>
                <w:b/>
                <w:bCs/>
                <w:sz w:val="22"/>
                <w:szCs w:val="22"/>
              </w:rPr>
              <w:t xml:space="preserve">Proxy </w:t>
            </w:r>
            <w:r w:rsidR="00F94170">
              <w:rPr>
                <w:rFonts w:asciiTheme="minorHAnsi" w:hAnsiTheme="minorHAnsi" w:cstheme="minorHAnsi"/>
                <w:b/>
                <w:bCs/>
                <w:sz w:val="22"/>
                <w:szCs w:val="22"/>
              </w:rPr>
              <w:t>i</w:t>
            </w:r>
            <w:r w:rsidRPr="00A236A8">
              <w:rPr>
                <w:rFonts w:asciiTheme="minorHAnsi" w:hAnsiTheme="minorHAnsi" w:cstheme="minorHAnsi"/>
                <w:b/>
                <w:bCs/>
                <w:sz w:val="22"/>
                <w:szCs w:val="22"/>
              </w:rPr>
              <w:t xml:space="preserve">nterview </w:t>
            </w:r>
          </w:p>
        </w:tc>
        <w:tc>
          <w:tcPr>
            <w:tcW w:w="6885" w:type="dxa"/>
          </w:tcPr>
          <w:p w14:paraId="62A55321" w14:textId="672855C1"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An interview in which someone else (called ‘the </w:t>
            </w:r>
            <w:r w:rsidR="003704E7">
              <w:rPr>
                <w:rFonts w:asciiTheme="minorHAnsi" w:hAnsiTheme="minorHAnsi" w:cstheme="minorHAnsi"/>
                <w:sz w:val="22"/>
                <w:szCs w:val="22"/>
              </w:rPr>
              <w:t>p</w:t>
            </w:r>
            <w:r w:rsidRPr="00A236A8">
              <w:rPr>
                <w:rFonts w:asciiTheme="minorHAnsi" w:hAnsiTheme="minorHAnsi" w:cstheme="minorHAnsi"/>
                <w:sz w:val="22"/>
                <w:szCs w:val="22"/>
              </w:rPr>
              <w:t>roxy’) answers the survey questionnaire on behalf of the selected respondent.</w:t>
            </w:r>
            <w:r w:rsidR="00A02E1C">
              <w:rPr>
                <w:rFonts w:asciiTheme="minorHAnsi" w:hAnsiTheme="minorHAnsi" w:cstheme="minorHAnsi"/>
                <w:sz w:val="22"/>
                <w:szCs w:val="22"/>
              </w:rPr>
              <w:t xml:space="preserve"> </w:t>
            </w:r>
          </w:p>
          <w:p w14:paraId="7B7300B0" w14:textId="77777777" w:rsidR="00F147F0" w:rsidRPr="00A236A8" w:rsidRDefault="00F147F0" w:rsidP="00F147F0">
            <w:pPr>
              <w:spacing w:after="160"/>
              <w:rPr>
                <w:rFonts w:asciiTheme="minorHAnsi" w:hAnsiTheme="minorHAnsi" w:cstheme="minorHAnsi"/>
                <w:sz w:val="22"/>
                <w:szCs w:val="22"/>
              </w:rPr>
            </w:pPr>
            <w:r w:rsidRPr="00A236A8">
              <w:rPr>
                <w:rFonts w:asciiTheme="minorHAnsi" w:hAnsiTheme="minorHAnsi" w:cstheme="minorHAnsi"/>
                <w:sz w:val="22"/>
                <w:szCs w:val="22"/>
              </w:rPr>
              <w:t xml:space="preserve">In the HDS, proxy interviews were used for all selected children (the proxy was usually a parent or other caregiver of the selected child). </w:t>
            </w:r>
          </w:p>
          <w:p w14:paraId="05EE48C4" w14:textId="3E09E198" w:rsidR="00F147F0" w:rsidRPr="00A236A8" w:rsidRDefault="13CC9F7B" w:rsidP="3524BD2A">
            <w:pPr>
              <w:spacing w:after="160"/>
              <w:rPr>
                <w:rFonts w:asciiTheme="minorHAnsi" w:hAnsiTheme="minorHAnsi" w:cstheme="minorBidi"/>
                <w:sz w:val="22"/>
                <w:szCs w:val="22"/>
              </w:rPr>
            </w:pPr>
            <w:r w:rsidRPr="3524BD2A">
              <w:rPr>
                <w:rFonts w:asciiTheme="minorHAnsi" w:hAnsiTheme="minorHAnsi" w:cstheme="minorBidi"/>
                <w:sz w:val="22"/>
                <w:szCs w:val="22"/>
              </w:rPr>
              <w:t>Ideally, selected adults answered for themselves.</w:t>
            </w:r>
            <w:r w:rsidR="5D3B6FF3" w:rsidRPr="3524BD2A">
              <w:rPr>
                <w:rFonts w:asciiTheme="minorHAnsi" w:hAnsiTheme="minorHAnsi" w:cstheme="minorBidi"/>
                <w:sz w:val="22"/>
                <w:szCs w:val="22"/>
              </w:rPr>
              <w:t xml:space="preserve"> </w:t>
            </w:r>
            <w:r w:rsidRPr="3524BD2A">
              <w:rPr>
                <w:rFonts w:asciiTheme="minorHAnsi" w:hAnsiTheme="minorHAnsi" w:cstheme="minorBidi"/>
                <w:sz w:val="22"/>
                <w:szCs w:val="22"/>
              </w:rPr>
              <w:t>Exceptions were made if they could not do so because of difficulties arising from health or disability issues.</w:t>
            </w:r>
            <w:r w:rsidR="5D3B6FF3" w:rsidRPr="3524BD2A">
              <w:rPr>
                <w:rFonts w:asciiTheme="minorHAnsi" w:hAnsiTheme="minorHAnsi" w:cstheme="minorBidi"/>
                <w:sz w:val="22"/>
                <w:szCs w:val="22"/>
              </w:rPr>
              <w:t xml:space="preserve"> </w:t>
            </w:r>
            <w:r w:rsidRPr="3524BD2A">
              <w:rPr>
                <w:rFonts w:asciiTheme="minorHAnsi" w:hAnsiTheme="minorHAnsi" w:cstheme="minorBidi"/>
                <w:sz w:val="22"/>
                <w:szCs w:val="22"/>
              </w:rPr>
              <w:t>Interviews could be rescheduled so the difficulties must have been expected to last for the remainder of the collection period</w:t>
            </w:r>
            <w:r w:rsidR="475384F3" w:rsidRPr="3524BD2A">
              <w:rPr>
                <w:rFonts w:asciiTheme="minorHAnsi" w:hAnsiTheme="minorHAnsi" w:cstheme="minorBidi"/>
                <w:sz w:val="22"/>
                <w:szCs w:val="22"/>
              </w:rPr>
              <w:t xml:space="preserve">. </w:t>
            </w:r>
          </w:p>
        </w:tc>
      </w:tr>
      <w:tr w:rsidR="00F147F0" w:rsidRPr="00A236A8" w14:paraId="46651D2A" w14:textId="77777777" w:rsidTr="3524BD2A">
        <w:trPr>
          <w:cantSplit/>
          <w:trHeight w:val="2250"/>
        </w:trPr>
        <w:tc>
          <w:tcPr>
            <w:tcW w:w="2307" w:type="dxa"/>
            <w:tcBorders>
              <w:bottom w:val="single" w:sz="4" w:space="0" w:color="auto"/>
            </w:tcBorders>
          </w:tcPr>
          <w:p w14:paraId="04066F21" w14:textId="77777777" w:rsidR="00F147F0" w:rsidRPr="00A236A8" w:rsidRDefault="00F147F0" w:rsidP="00F147F0">
            <w:pPr>
              <w:spacing w:after="160"/>
              <w:rPr>
                <w:rStyle w:val="Strong"/>
                <w:rFonts w:asciiTheme="minorHAnsi" w:hAnsiTheme="minorHAnsi" w:cstheme="minorHAnsi"/>
                <w:color w:val="333333"/>
                <w:sz w:val="22"/>
                <w:szCs w:val="22"/>
              </w:rPr>
            </w:pPr>
            <w:r w:rsidRPr="00A236A8">
              <w:rPr>
                <w:rFonts w:asciiTheme="minorHAnsi" w:hAnsiTheme="minorHAnsi" w:cstheme="minorHAnsi"/>
                <w:b/>
                <w:bCs/>
                <w:sz w:val="22"/>
                <w:szCs w:val="22"/>
              </w:rPr>
              <w:t>Residential and community care facility</w:t>
            </w:r>
          </w:p>
        </w:tc>
        <w:tc>
          <w:tcPr>
            <w:tcW w:w="6885" w:type="dxa"/>
            <w:tcBorders>
              <w:bottom w:val="single" w:sz="4" w:space="0" w:color="auto"/>
            </w:tcBorders>
          </w:tcPr>
          <w:p w14:paraId="19FBB0B3" w14:textId="6EFB588D" w:rsidR="00170F44" w:rsidRDefault="00F147F0" w:rsidP="00181F3E">
            <w:pPr>
              <w:spacing w:after="160" w:line="259" w:lineRule="auto"/>
              <w:rPr>
                <w:color w:val="333333"/>
                <w:sz w:val="22"/>
                <w:szCs w:val="22"/>
              </w:rPr>
            </w:pPr>
            <w:r w:rsidRPr="00A236A8">
              <w:rPr>
                <w:rFonts w:asciiTheme="minorHAnsi" w:hAnsiTheme="minorHAnsi" w:cstheme="minorHAnsi"/>
                <w:sz w:val="22"/>
                <w:szCs w:val="22"/>
              </w:rPr>
              <w:t xml:space="preserve">A type </w:t>
            </w:r>
            <w:r w:rsidR="006E5B9F">
              <w:rPr>
                <w:rFonts w:asciiTheme="minorHAnsi" w:hAnsiTheme="minorHAnsi" w:cstheme="minorHAnsi"/>
                <w:sz w:val="22"/>
                <w:szCs w:val="22"/>
              </w:rPr>
              <w:t xml:space="preserve">of </w:t>
            </w:r>
            <w:r w:rsidRPr="00A236A8">
              <w:rPr>
                <w:rFonts w:asciiTheme="minorHAnsi" w:hAnsiTheme="minorHAnsi" w:cstheme="minorHAnsi"/>
                <w:sz w:val="22"/>
                <w:szCs w:val="22"/>
              </w:rPr>
              <w:t>dwelling type that provides supported living arrangements for people in the community.</w:t>
            </w:r>
            <w:r w:rsidR="00A02E1C">
              <w:rPr>
                <w:rFonts w:asciiTheme="minorHAnsi" w:hAnsiTheme="minorHAnsi" w:cstheme="minorHAnsi"/>
                <w:sz w:val="22"/>
                <w:szCs w:val="22"/>
              </w:rPr>
              <w:t xml:space="preserve"> </w:t>
            </w:r>
            <w:r w:rsidRPr="00A236A8">
              <w:rPr>
                <w:rFonts w:asciiTheme="minorHAnsi" w:hAnsiTheme="minorHAnsi" w:cstheme="minorHAnsi"/>
                <w:sz w:val="22"/>
                <w:szCs w:val="22"/>
              </w:rPr>
              <w:t>It includes dwellings that provide care for disabled people (such as the homes run by IDEA Services)</w:t>
            </w:r>
            <w:r>
              <w:rPr>
                <w:rFonts w:asciiTheme="minorHAnsi" w:hAnsiTheme="minorHAnsi" w:cstheme="minorHAnsi"/>
                <w:sz w:val="22"/>
                <w:szCs w:val="22"/>
              </w:rPr>
              <w:t>.</w:t>
            </w:r>
            <w:r w:rsidRPr="00A236A8">
              <w:rPr>
                <w:rFonts w:asciiTheme="minorHAnsi" w:hAnsiTheme="minorHAnsi" w:cstheme="minorHAnsi"/>
                <w:sz w:val="22"/>
                <w:szCs w:val="22"/>
              </w:rPr>
              <w:t xml:space="preserve"> </w:t>
            </w:r>
            <w:r w:rsidR="00007C74">
              <w:rPr>
                <w:rFonts w:asciiTheme="minorHAnsi" w:hAnsiTheme="minorHAnsi" w:cstheme="minorHAnsi"/>
                <w:sz w:val="22"/>
                <w:szCs w:val="22"/>
              </w:rPr>
              <w:t>It does not include aged-care facilitie</w:t>
            </w:r>
            <w:r w:rsidR="00007C74">
              <w:rPr>
                <w:rFonts w:asciiTheme="minorHAnsi" w:hAnsiTheme="minorHAnsi" w:cstheme="minorHAnsi"/>
                <w:szCs w:val="22"/>
              </w:rPr>
              <w:t xml:space="preserve">s, </w:t>
            </w:r>
            <w:r w:rsidR="00007C74">
              <w:rPr>
                <w:rFonts w:asciiTheme="minorHAnsi" w:hAnsiTheme="minorHAnsi" w:cstheme="minorHAnsi"/>
                <w:sz w:val="22"/>
                <w:szCs w:val="22"/>
              </w:rPr>
              <w:t>long-stay hospitals</w:t>
            </w:r>
            <w:r w:rsidR="00CD1C32">
              <w:rPr>
                <w:rFonts w:asciiTheme="minorHAnsi" w:hAnsiTheme="minorHAnsi" w:cstheme="minorHAnsi"/>
                <w:sz w:val="22"/>
                <w:szCs w:val="22"/>
              </w:rPr>
              <w:t>,</w:t>
            </w:r>
            <w:r w:rsidR="00007C74">
              <w:rPr>
                <w:rFonts w:asciiTheme="minorHAnsi" w:hAnsiTheme="minorHAnsi" w:cstheme="minorHAnsi"/>
                <w:sz w:val="22"/>
                <w:szCs w:val="22"/>
              </w:rPr>
              <w:t xml:space="preserve"> or other care facilities where the person is not being supported to live in the community.</w:t>
            </w:r>
            <w:r w:rsidR="008540C6">
              <w:rPr>
                <w:rFonts w:asciiTheme="minorHAnsi" w:hAnsiTheme="minorHAnsi" w:cstheme="minorHAnsi"/>
                <w:sz w:val="22"/>
                <w:szCs w:val="22"/>
              </w:rPr>
              <w:t xml:space="preserve"> </w:t>
            </w:r>
            <w:r w:rsidR="006C63C7">
              <w:rPr>
                <w:rFonts w:asciiTheme="minorHAnsi" w:hAnsiTheme="minorHAnsi" w:cstheme="minorHAnsi"/>
                <w:sz w:val="22"/>
                <w:szCs w:val="22"/>
              </w:rPr>
              <w:t xml:space="preserve">As a part of the </w:t>
            </w:r>
            <w:r w:rsidR="008A4C65">
              <w:rPr>
                <w:rFonts w:asciiTheme="minorHAnsi" w:hAnsiTheme="minorHAnsi" w:cstheme="minorHAnsi"/>
                <w:sz w:val="22"/>
                <w:szCs w:val="22"/>
              </w:rPr>
              <w:t>c</w:t>
            </w:r>
            <w:r w:rsidR="006C63C7">
              <w:rPr>
                <w:rFonts w:asciiTheme="minorHAnsi" w:hAnsiTheme="minorHAnsi" w:cstheme="minorHAnsi"/>
                <w:sz w:val="22"/>
                <w:szCs w:val="22"/>
              </w:rPr>
              <w:t>ensus, a</w:t>
            </w:r>
            <w:r w:rsidR="008540C6">
              <w:rPr>
                <w:rFonts w:asciiTheme="minorHAnsi" w:hAnsiTheme="minorHAnsi" w:cstheme="minorHAnsi"/>
                <w:sz w:val="22"/>
                <w:szCs w:val="22"/>
              </w:rPr>
              <w:t xml:space="preserve">ll dwellings </w:t>
            </w:r>
            <w:r w:rsidR="006C63C7">
              <w:rPr>
                <w:rFonts w:asciiTheme="minorHAnsi" w:hAnsiTheme="minorHAnsi" w:cstheme="minorHAnsi"/>
                <w:sz w:val="22"/>
                <w:szCs w:val="22"/>
              </w:rPr>
              <w:t>in N</w:t>
            </w:r>
            <w:r w:rsidR="00F87C38">
              <w:rPr>
                <w:rFonts w:asciiTheme="minorHAnsi" w:hAnsiTheme="minorHAnsi" w:cstheme="minorHAnsi"/>
                <w:sz w:val="22"/>
                <w:szCs w:val="22"/>
              </w:rPr>
              <w:t xml:space="preserve">ew </w:t>
            </w:r>
            <w:r w:rsidR="006C63C7">
              <w:rPr>
                <w:rFonts w:asciiTheme="minorHAnsi" w:hAnsiTheme="minorHAnsi" w:cstheme="minorHAnsi"/>
                <w:sz w:val="22"/>
                <w:szCs w:val="22"/>
              </w:rPr>
              <w:t>Z</w:t>
            </w:r>
            <w:r w:rsidR="00F87C38">
              <w:rPr>
                <w:rFonts w:asciiTheme="minorHAnsi" w:hAnsiTheme="minorHAnsi" w:cstheme="minorHAnsi"/>
                <w:sz w:val="22"/>
                <w:szCs w:val="22"/>
              </w:rPr>
              <w:t>ealand</w:t>
            </w:r>
            <w:r w:rsidR="006C63C7">
              <w:rPr>
                <w:rFonts w:asciiTheme="minorHAnsi" w:hAnsiTheme="minorHAnsi" w:cstheme="minorHAnsi"/>
                <w:sz w:val="22"/>
                <w:szCs w:val="22"/>
              </w:rPr>
              <w:t xml:space="preserve"> a</w:t>
            </w:r>
            <w:r w:rsidR="008540C6">
              <w:rPr>
                <w:rFonts w:asciiTheme="minorHAnsi" w:hAnsiTheme="minorHAnsi" w:cstheme="minorHAnsi"/>
                <w:sz w:val="22"/>
                <w:szCs w:val="22"/>
              </w:rPr>
              <w:t xml:space="preserve">re classified </w:t>
            </w:r>
            <w:r w:rsidR="00C30EAA">
              <w:rPr>
                <w:rFonts w:asciiTheme="minorHAnsi" w:hAnsiTheme="minorHAnsi" w:cstheme="minorHAnsi"/>
                <w:sz w:val="22"/>
                <w:szCs w:val="22"/>
              </w:rPr>
              <w:t xml:space="preserve">by type. ‘Residential and community care facilities’ are one of many types of dwellings. </w:t>
            </w:r>
          </w:p>
          <w:p w14:paraId="05E1E6EF" w14:textId="0FE2355D" w:rsidR="00F147F0" w:rsidRPr="00181F3E" w:rsidRDefault="0D7FFAC1" w:rsidP="3524BD2A">
            <w:pPr>
              <w:spacing w:after="160" w:line="259" w:lineRule="auto"/>
              <w:rPr>
                <w:rStyle w:val="Strong"/>
                <w:rFonts w:asciiTheme="minorHAnsi" w:hAnsiTheme="minorHAnsi" w:cstheme="minorBidi"/>
                <w:b w:val="0"/>
                <w:bCs w:val="0"/>
                <w:sz w:val="22"/>
                <w:szCs w:val="22"/>
              </w:rPr>
            </w:pPr>
            <w:hyperlink r:id="rId44" w:anchor="ClassificationView:uri=http://stats.govt.nz/cms/ClassificationVersion/QyJwry9W1jF9nyZe">
              <w:r w:rsidRPr="3524BD2A">
                <w:rPr>
                  <w:rStyle w:val="Hyperlink"/>
                </w:rPr>
                <w:t xml:space="preserve">Census </w:t>
              </w:r>
              <w:r w:rsidR="6B2C7BBC" w:rsidRPr="3524BD2A">
                <w:rPr>
                  <w:rStyle w:val="Hyperlink"/>
                </w:rPr>
                <w:t>d</w:t>
              </w:r>
              <w:r w:rsidRPr="3524BD2A">
                <w:rPr>
                  <w:rStyle w:val="Hyperlink"/>
                </w:rPr>
                <w:t xml:space="preserve">welling </w:t>
              </w:r>
              <w:r w:rsidR="6B2C7BBC" w:rsidRPr="3524BD2A">
                <w:rPr>
                  <w:rStyle w:val="Hyperlink"/>
                </w:rPr>
                <w:t>t</w:t>
              </w:r>
              <w:r w:rsidRPr="3524BD2A">
                <w:rPr>
                  <w:rStyle w:val="Hyperlink"/>
                </w:rPr>
                <w:t xml:space="preserve">ype </w:t>
              </w:r>
              <w:r w:rsidR="6B2C7BBC" w:rsidRPr="3524BD2A">
                <w:rPr>
                  <w:rStyle w:val="Hyperlink"/>
                </w:rPr>
                <w:t>c</w:t>
              </w:r>
              <w:r w:rsidRPr="3524BD2A">
                <w:rPr>
                  <w:rStyle w:val="Hyperlink"/>
                </w:rPr>
                <w:t>lassification</w:t>
              </w:r>
            </w:hyperlink>
            <w:r w:rsidR="7DC04F15" w:rsidRPr="3524BD2A">
              <w:t xml:space="preserve"> </w:t>
            </w:r>
            <w:r w:rsidR="6B2C7BBC" w:rsidRPr="3524BD2A">
              <w:t>details</w:t>
            </w:r>
            <w:r w:rsidR="7DC04F15" w:rsidRPr="3524BD2A">
              <w:t xml:space="preserve"> </w:t>
            </w:r>
            <w:r w:rsidR="7DC04F15" w:rsidRPr="3524BD2A">
              <w:rPr>
                <w:color w:val="333333"/>
                <w:sz w:val="22"/>
                <w:szCs w:val="22"/>
              </w:rPr>
              <w:t>the dwelling type classification</w:t>
            </w:r>
            <w:r w:rsidRPr="3524BD2A">
              <w:rPr>
                <w:color w:val="333333"/>
                <w:sz w:val="22"/>
                <w:szCs w:val="22"/>
              </w:rPr>
              <w:t>.</w:t>
            </w:r>
          </w:p>
        </w:tc>
      </w:tr>
      <w:tr w:rsidR="00F147F0" w:rsidRPr="00490BF8" w14:paraId="3C232C81" w14:textId="77777777" w:rsidTr="3524BD2A">
        <w:trPr>
          <w:cantSplit/>
          <w:trHeight w:val="71"/>
        </w:trPr>
        <w:tc>
          <w:tcPr>
            <w:tcW w:w="2307" w:type="dxa"/>
            <w:tcBorders>
              <w:top w:val="single" w:sz="4" w:space="0" w:color="auto"/>
              <w:left w:val="single" w:sz="4" w:space="0" w:color="auto"/>
              <w:bottom w:val="single" w:sz="4" w:space="0" w:color="auto"/>
              <w:right w:val="single" w:sz="4" w:space="0" w:color="auto"/>
            </w:tcBorders>
          </w:tcPr>
          <w:p w14:paraId="301CB2E5" w14:textId="77777777" w:rsidR="00F147F0" w:rsidRPr="00490BF8" w:rsidRDefault="00F147F0" w:rsidP="00F147F0">
            <w:pPr>
              <w:spacing w:after="160"/>
              <w:rPr>
                <w:rFonts w:cstheme="minorHAnsi"/>
                <w:b/>
                <w:bCs/>
                <w:sz w:val="22"/>
                <w:szCs w:val="22"/>
              </w:rPr>
            </w:pPr>
            <w:r w:rsidRPr="00490BF8">
              <w:rPr>
                <w:rFonts w:cstheme="minorHAnsi"/>
                <w:b/>
                <w:bCs/>
                <w:sz w:val="22"/>
                <w:szCs w:val="22"/>
              </w:rPr>
              <w:t>Screening questions</w:t>
            </w:r>
          </w:p>
        </w:tc>
        <w:tc>
          <w:tcPr>
            <w:tcW w:w="6885" w:type="dxa"/>
            <w:tcBorders>
              <w:top w:val="single" w:sz="4" w:space="0" w:color="auto"/>
              <w:left w:val="single" w:sz="4" w:space="0" w:color="auto"/>
              <w:bottom w:val="single" w:sz="4" w:space="0" w:color="auto"/>
              <w:right w:val="single" w:sz="4" w:space="0" w:color="auto"/>
            </w:tcBorders>
          </w:tcPr>
          <w:p w14:paraId="5807BE7A" w14:textId="3FE3BB0A" w:rsidR="00F147F0" w:rsidRPr="00490BF8" w:rsidRDefault="13CC9F7B" w:rsidP="3524BD2A">
            <w:pPr>
              <w:spacing w:after="160"/>
              <w:rPr>
                <w:rFonts w:cstheme="minorBidi"/>
                <w:sz w:val="22"/>
                <w:szCs w:val="22"/>
              </w:rPr>
            </w:pPr>
            <w:r w:rsidRPr="3524BD2A">
              <w:rPr>
                <w:rFonts w:cstheme="minorBidi"/>
                <w:sz w:val="22"/>
                <w:szCs w:val="22"/>
              </w:rPr>
              <w:t>The set of questions used to identify the disability status of each respondent in the survey.</w:t>
            </w:r>
            <w:r w:rsidR="5D3B6FF3" w:rsidRPr="3524BD2A">
              <w:rPr>
                <w:rFonts w:cstheme="minorBidi"/>
                <w:sz w:val="22"/>
                <w:szCs w:val="22"/>
              </w:rPr>
              <w:t xml:space="preserve"> </w:t>
            </w:r>
            <w:r w:rsidRPr="3524BD2A">
              <w:rPr>
                <w:rFonts w:cstheme="minorBidi"/>
                <w:sz w:val="22"/>
                <w:szCs w:val="22"/>
              </w:rPr>
              <w:t>A threshold (or boundary) is set so that answers can be used to count disabled and non-disabled people.</w:t>
            </w:r>
          </w:p>
        </w:tc>
      </w:tr>
    </w:tbl>
    <w:p w14:paraId="787A6C6A" w14:textId="77777777" w:rsidR="0084002A" w:rsidRDefault="0084002A" w:rsidP="00C5124C">
      <w:pPr>
        <w:pStyle w:val="Heading1"/>
      </w:pPr>
      <w:bookmarkStart w:id="167" w:name="_Toc187762894"/>
      <w:bookmarkStart w:id="168" w:name="_Toc187763579"/>
      <w:bookmarkStart w:id="169" w:name="_Toc187763855"/>
      <w:bookmarkStart w:id="170" w:name="_Toc190856858"/>
    </w:p>
    <w:p w14:paraId="4B4F4666" w14:textId="77777777" w:rsidR="0084002A" w:rsidRDefault="0084002A">
      <w:pPr>
        <w:spacing w:after="160" w:line="259" w:lineRule="auto"/>
        <w:rPr>
          <w:rFonts w:eastAsiaTheme="majorEastAsia" w:cstheme="majorBidi"/>
          <w:bCs/>
          <w:noProof/>
          <w:color w:val="4E5B61"/>
          <w:sz w:val="40"/>
          <w:szCs w:val="28"/>
          <w:lang w:eastAsia="en-NZ"/>
        </w:rPr>
      </w:pPr>
      <w:r>
        <w:br w:type="page"/>
      </w:r>
    </w:p>
    <w:p w14:paraId="53DF0DD9" w14:textId="294413CA" w:rsidR="00C5124C" w:rsidRDefault="00C5124C" w:rsidP="00C5124C">
      <w:pPr>
        <w:pStyle w:val="Heading1"/>
      </w:pPr>
      <w:r>
        <w:t>7. Survey design summary</w:t>
      </w:r>
      <w:bookmarkEnd w:id="167"/>
      <w:bookmarkEnd w:id="168"/>
      <w:bookmarkEnd w:id="169"/>
      <w:bookmarkEnd w:id="170"/>
    </w:p>
    <w:p w14:paraId="2F2327B5" w14:textId="5520F895" w:rsidR="00C5124C" w:rsidRDefault="00C5124C" w:rsidP="00C5124C">
      <w:pPr>
        <w:pStyle w:val="Heading2"/>
      </w:pPr>
      <w:bookmarkStart w:id="171" w:name="_Toc187762895"/>
      <w:bookmarkStart w:id="172" w:name="_Toc187763580"/>
      <w:bookmarkStart w:id="173" w:name="_Toc187763856"/>
      <w:bookmarkStart w:id="174" w:name="_Toc190856859"/>
      <w:r>
        <w:t>7.1 Survey purpose</w:t>
      </w:r>
      <w:bookmarkEnd w:id="171"/>
      <w:bookmarkEnd w:id="172"/>
      <w:bookmarkEnd w:id="173"/>
      <w:bookmarkEnd w:id="174"/>
      <w:r w:rsidR="00A02E1C">
        <w:t xml:space="preserve"> </w:t>
      </w:r>
    </w:p>
    <w:p w14:paraId="59CB03FE" w14:textId="010E9FC3" w:rsidR="003E1182" w:rsidRDefault="00C33CC4" w:rsidP="00C33CC4">
      <w:pPr>
        <w:rPr>
          <w:color w:val="333333"/>
        </w:rPr>
      </w:pPr>
      <w:r w:rsidRPr="001C3C2C">
        <w:rPr>
          <w:color w:val="333333"/>
        </w:rPr>
        <w:t xml:space="preserve">The purpose of the 2023 </w:t>
      </w:r>
      <w:r w:rsidR="004B48A2">
        <w:rPr>
          <w:color w:val="333333"/>
        </w:rPr>
        <w:t>HDS</w:t>
      </w:r>
      <w:r w:rsidRPr="001C3C2C">
        <w:rPr>
          <w:color w:val="333333"/>
        </w:rPr>
        <w:t xml:space="preserve"> </w:t>
      </w:r>
      <w:r w:rsidR="00AC1BA5">
        <w:rPr>
          <w:color w:val="333333"/>
        </w:rPr>
        <w:t>wa</w:t>
      </w:r>
      <w:r w:rsidRPr="001C3C2C">
        <w:rPr>
          <w:color w:val="333333"/>
        </w:rPr>
        <w:t>s to understand the prevalence of disability within the usually resident population living in N</w:t>
      </w:r>
      <w:r w:rsidR="00F87C38">
        <w:rPr>
          <w:color w:val="333333"/>
        </w:rPr>
        <w:t xml:space="preserve">ew </w:t>
      </w:r>
      <w:r w:rsidRPr="001C3C2C">
        <w:rPr>
          <w:color w:val="333333"/>
        </w:rPr>
        <w:t>Z</w:t>
      </w:r>
      <w:r w:rsidR="00F87C38">
        <w:rPr>
          <w:color w:val="333333"/>
        </w:rPr>
        <w:t>ealand</w:t>
      </w:r>
      <w:r w:rsidRPr="001C3C2C">
        <w:rPr>
          <w:color w:val="333333"/>
        </w:rPr>
        <w:t xml:space="preserve"> households and how </w:t>
      </w:r>
      <w:r w:rsidR="0053436E">
        <w:rPr>
          <w:color w:val="333333"/>
        </w:rPr>
        <w:t>this</w:t>
      </w:r>
      <w:r w:rsidR="0053436E" w:rsidRPr="001C3C2C">
        <w:rPr>
          <w:color w:val="333333"/>
        </w:rPr>
        <w:t xml:space="preserve"> </w:t>
      </w:r>
      <w:r w:rsidRPr="001C3C2C">
        <w:rPr>
          <w:color w:val="333333"/>
        </w:rPr>
        <w:t>differs by demographic group</w:t>
      </w:r>
      <w:r w:rsidR="0066356F">
        <w:rPr>
          <w:color w:val="333333"/>
        </w:rPr>
        <w:t xml:space="preserve">. </w:t>
      </w:r>
    </w:p>
    <w:p w14:paraId="0F13A4B7" w14:textId="2913B8D5" w:rsidR="00C33CC4" w:rsidRPr="001C3C2C" w:rsidRDefault="009F7D61" w:rsidP="00C33CC4">
      <w:pPr>
        <w:rPr>
          <w:color w:val="333333"/>
        </w:rPr>
      </w:pPr>
      <w:r>
        <w:rPr>
          <w:color w:val="333333"/>
        </w:rPr>
        <w:t xml:space="preserve">Its other purpose </w:t>
      </w:r>
      <w:r w:rsidR="008322ED">
        <w:rPr>
          <w:color w:val="333333"/>
        </w:rPr>
        <w:t xml:space="preserve">was </w:t>
      </w:r>
      <w:r w:rsidR="006451E7">
        <w:rPr>
          <w:color w:val="333333"/>
        </w:rPr>
        <w:t>t</w:t>
      </w:r>
      <w:r w:rsidR="00C33CC4" w:rsidRPr="001C3C2C">
        <w:rPr>
          <w:color w:val="333333"/>
        </w:rPr>
        <w:t>o investigate the social</w:t>
      </w:r>
      <w:r w:rsidR="003675BC">
        <w:rPr>
          <w:color w:val="333333"/>
        </w:rPr>
        <w:t>, wellbeing,</w:t>
      </w:r>
      <w:r w:rsidR="00C33CC4" w:rsidRPr="001C3C2C">
        <w:rPr>
          <w:color w:val="333333"/>
        </w:rPr>
        <w:t xml:space="preserve"> and economic</w:t>
      </w:r>
      <w:r w:rsidR="00B34D84">
        <w:rPr>
          <w:color w:val="333333"/>
        </w:rPr>
        <w:t xml:space="preserve"> outcomes and</w:t>
      </w:r>
      <w:r w:rsidR="00C33CC4" w:rsidRPr="001C3C2C">
        <w:rPr>
          <w:color w:val="333333"/>
        </w:rPr>
        <w:t xml:space="preserve"> participation of disabled people</w:t>
      </w:r>
      <w:r w:rsidR="0066356F">
        <w:rPr>
          <w:color w:val="333333"/>
        </w:rPr>
        <w:t xml:space="preserve">, including how they </w:t>
      </w:r>
      <w:r w:rsidR="00C33CC4" w:rsidRPr="001C3C2C">
        <w:rPr>
          <w:color w:val="333333"/>
        </w:rPr>
        <w:t xml:space="preserve">differ from those for non-disabled people. </w:t>
      </w:r>
    </w:p>
    <w:p w14:paraId="4DD12AC6" w14:textId="587A7B01" w:rsidR="00C5124C" w:rsidRDefault="00C5124C" w:rsidP="00C5124C">
      <w:pPr>
        <w:pStyle w:val="Heading2"/>
      </w:pPr>
      <w:bookmarkStart w:id="175" w:name="_Toc187762896"/>
      <w:bookmarkStart w:id="176" w:name="_Toc187763581"/>
      <w:bookmarkStart w:id="177" w:name="_Toc187763857"/>
      <w:bookmarkStart w:id="178" w:name="_Toc190856860"/>
      <w:r>
        <w:t>7.</w:t>
      </w:r>
      <w:r w:rsidR="00CD6C49">
        <w:t>2</w:t>
      </w:r>
      <w:r>
        <w:t xml:space="preserve"> Survey </w:t>
      </w:r>
      <w:r w:rsidR="00CD6C49">
        <w:t>objectives</w:t>
      </w:r>
      <w:bookmarkEnd w:id="175"/>
      <w:bookmarkEnd w:id="176"/>
      <w:bookmarkEnd w:id="177"/>
      <w:bookmarkEnd w:id="178"/>
      <w:r w:rsidR="00A02E1C">
        <w:t xml:space="preserve"> </w:t>
      </w:r>
    </w:p>
    <w:p w14:paraId="36500DBE" w14:textId="3C25C01D" w:rsidR="00B72A79" w:rsidRPr="001C3C2C" w:rsidRDefault="18F05D79" w:rsidP="3524BD2A">
      <w:pPr>
        <w:rPr>
          <w:color w:val="333333"/>
        </w:rPr>
      </w:pPr>
      <w:r w:rsidRPr="3524BD2A">
        <w:rPr>
          <w:color w:val="333333"/>
        </w:rPr>
        <w:t xml:space="preserve">The survey objectives </w:t>
      </w:r>
      <w:r w:rsidR="7DFD63CF" w:rsidRPr="3524BD2A">
        <w:rPr>
          <w:color w:val="333333"/>
        </w:rPr>
        <w:t>are listed below</w:t>
      </w:r>
      <w:r w:rsidRPr="3524BD2A">
        <w:rPr>
          <w:color w:val="333333"/>
        </w:rPr>
        <w:t xml:space="preserve">: </w:t>
      </w:r>
    </w:p>
    <w:p w14:paraId="382BF190" w14:textId="22E6B76F" w:rsidR="00B72A79" w:rsidRPr="001C3C2C" w:rsidRDefault="18F05D79" w:rsidP="3524BD2A">
      <w:pPr>
        <w:numPr>
          <w:ilvl w:val="0"/>
          <w:numId w:val="14"/>
        </w:numPr>
        <w:spacing w:after="120" w:line="259" w:lineRule="auto"/>
        <w:ind w:hanging="357"/>
        <w:rPr>
          <w:color w:val="333333"/>
        </w:rPr>
      </w:pPr>
      <w:bookmarkStart w:id="179" w:name="_Hlk119058427"/>
      <w:r w:rsidRPr="3524BD2A">
        <w:rPr>
          <w:color w:val="333333"/>
        </w:rPr>
        <w:t xml:space="preserve">To understand </w:t>
      </w:r>
      <w:bookmarkEnd w:id="179"/>
      <w:r w:rsidRPr="3524BD2A">
        <w:rPr>
          <w:color w:val="333333"/>
        </w:rPr>
        <w:t>the prevalence of disability within the usually resident population living in N</w:t>
      </w:r>
      <w:r w:rsidR="30CC8C22" w:rsidRPr="3524BD2A">
        <w:rPr>
          <w:color w:val="333333"/>
        </w:rPr>
        <w:t xml:space="preserve">ew </w:t>
      </w:r>
      <w:r w:rsidRPr="3524BD2A">
        <w:rPr>
          <w:color w:val="333333"/>
        </w:rPr>
        <w:t>Z</w:t>
      </w:r>
      <w:r w:rsidR="30CC8C22" w:rsidRPr="3524BD2A">
        <w:rPr>
          <w:color w:val="333333"/>
        </w:rPr>
        <w:t>ealand</w:t>
      </w:r>
      <w:r w:rsidRPr="3524BD2A">
        <w:rPr>
          <w:color w:val="333333"/>
        </w:rPr>
        <w:t xml:space="preserve"> households and how prevalence differs by demographic group. </w:t>
      </w:r>
      <w:proofErr w:type="gramStart"/>
      <w:r w:rsidRPr="3524BD2A">
        <w:rPr>
          <w:color w:val="333333"/>
        </w:rPr>
        <w:t>Specifically</w:t>
      </w:r>
      <w:proofErr w:type="gramEnd"/>
      <w:r w:rsidR="002B43AB" w:rsidRPr="3524BD2A">
        <w:rPr>
          <w:color w:val="333333"/>
        </w:rPr>
        <w:t xml:space="preserve"> to</w:t>
      </w:r>
      <w:r w:rsidRPr="3524BD2A">
        <w:rPr>
          <w:color w:val="333333"/>
        </w:rPr>
        <w:t>:</w:t>
      </w:r>
    </w:p>
    <w:p w14:paraId="08DEFC5B" w14:textId="3032F08D" w:rsidR="00B72A79" w:rsidRPr="001A5246" w:rsidRDefault="00B72A79" w:rsidP="00E113A2">
      <w:pPr>
        <w:pStyle w:val="ListParagraph"/>
        <w:numPr>
          <w:ilvl w:val="0"/>
          <w:numId w:val="40"/>
        </w:numPr>
        <w:spacing w:after="120" w:line="259" w:lineRule="auto"/>
        <w:rPr>
          <w:color w:val="333333"/>
        </w:rPr>
      </w:pPr>
      <w:r w:rsidRPr="001A5246">
        <w:rPr>
          <w:color w:val="333333"/>
        </w:rPr>
        <w:t>produce national estimates of the disability prevalence for people living in households both in total and for selected demographic characteristics.</w:t>
      </w:r>
    </w:p>
    <w:p w14:paraId="6D83D6C5" w14:textId="2D432811" w:rsidR="00B72A79" w:rsidRPr="001A5246" w:rsidRDefault="00B72A79" w:rsidP="00E113A2">
      <w:pPr>
        <w:pStyle w:val="ListParagraph"/>
        <w:numPr>
          <w:ilvl w:val="0"/>
          <w:numId w:val="40"/>
        </w:numPr>
        <w:spacing w:after="120" w:line="259" w:lineRule="auto"/>
        <w:rPr>
          <w:color w:val="333333"/>
        </w:rPr>
      </w:pPr>
      <w:r w:rsidRPr="001A5246">
        <w:rPr>
          <w:color w:val="333333"/>
        </w:rPr>
        <w:t>produce national estimates of the disability prevalence for people living in households by the functional domain in which they have difficulty.</w:t>
      </w:r>
    </w:p>
    <w:p w14:paraId="75D327BE" w14:textId="30724730" w:rsidR="00B72A79" w:rsidRPr="001C3C2C" w:rsidRDefault="00442A38" w:rsidP="00D41DD8">
      <w:pPr>
        <w:numPr>
          <w:ilvl w:val="0"/>
          <w:numId w:val="14"/>
        </w:numPr>
        <w:spacing w:after="120" w:line="259" w:lineRule="auto"/>
        <w:ind w:hanging="357"/>
        <w:rPr>
          <w:color w:val="333333"/>
        </w:rPr>
      </w:pPr>
      <w:r w:rsidRPr="00475F05">
        <w:rPr>
          <w:color w:val="333333"/>
        </w:rPr>
        <w:t xml:space="preserve">To understand the experiences of disabled people, </w:t>
      </w:r>
      <w:r>
        <w:rPr>
          <w:color w:val="333333"/>
        </w:rPr>
        <w:t>and</w:t>
      </w:r>
      <w:r w:rsidR="00B72A79" w:rsidRPr="001C3C2C">
        <w:rPr>
          <w:color w:val="333333"/>
        </w:rPr>
        <w:t xml:space="preserve"> the extent to which social, wellbeing, and economic outcomes for disabled people differ from those for non-disabled people, and how those outcomes differ between demographic groups within the disabled population.</w:t>
      </w:r>
    </w:p>
    <w:p w14:paraId="40A89EAE" w14:textId="2EACFC42" w:rsidR="00B72A79" w:rsidRPr="001C3C2C" w:rsidRDefault="18F05D79" w:rsidP="3524BD2A">
      <w:pPr>
        <w:numPr>
          <w:ilvl w:val="0"/>
          <w:numId w:val="14"/>
        </w:numPr>
        <w:spacing w:after="120" w:line="259" w:lineRule="auto"/>
        <w:ind w:hanging="357"/>
        <w:rPr>
          <w:color w:val="333333"/>
        </w:rPr>
      </w:pPr>
      <w:r w:rsidRPr="3524BD2A">
        <w:rPr>
          <w:color w:val="333333"/>
        </w:rPr>
        <w:t>To understand the level and type of support disabled people need to perform activities of daily living, including identifying unmet need for such support.</w:t>
      </w:r>
    </w:p>
    <w:p w14:paraId="1FDC6064" w14:textId="77777777" w:rsidR="00B72A79" w:rsidRPr="001C3C2C" w:rsidRDefault="00B72A79" w:rsidP="00D41DD8">
      <w:pPr>
        <w:numPr>
          <w:ilvl w:val="0"/>
          <w:numId w:val="14"/>
        </w:numPr>
        <w:spacing w:after="120" w:line="259" w:lineRule="auto"/>
        <w:ind w:hanging="357"/>
        <w:rPr>
          <w:color w:val="333333"/>
        </w:rPr>
      </w:pPr>
      <w:r w:rsidRPr="001C3C2C">
        <w:rPr>
          <w:color w:val="333333"/>
        </w:rPr>
        <w:t>To understand what hinders participation by disabled people in important aspects of life such as work, education, civic society, and recreation.</w:t>
      </w:r>
    </w:p>
    <w:p w14:paraId="4AF2B606" w14:textId="0B4D9B73" w:rsidR="00C5124C" w:rsidRDefault="00C5124C" w:rsidP="00C5124C">
      <w:pPr>
        <w:pStyle w:val="Heading2"/>
      </w:pPr>
      <w:bookmarkStart w:id="180" w:name="_7.3_Survey_content"/>
      <w:bookmarkStart w:id="181" w:name="_Toc187762897"/>
      <w:bookmarkStart w:id="182" w:name="_Toc187763582"/>
      <w:bookmarkStart w:id="183" w:name="_Toc187763858"/>
      <w:bookmarkStart w:id="184" w:name="_Toc190856861"/>
      <w:bookmarkEnd w:id="180"/>
      <w:r>
        <w:t>7.</w:t>
      </w:r>
      <w:r w:rsidR="00CD6C49">
        <w:t>3</w:t>
      </w:r>
      <w:r>
        <w:t xml:space="preserve"> Survey </w:t>
      </w:r>
      <w:r w:rsidR="00CD6C49">
        <w:t>content</w:t>
      </w:r>
      <w:bookmarkEnd w:id="181"/>
      <w:bookmarkEnd w:id="182"/>
      <w:bookmarkEnd w:id="183"/>
      <w:bookmarkEnd w:id="184"/>
      <w:r w:rsidR="00A02E1C">
        <w:t xml:space="preserve"> </w:t>
      </w:r>
    </w:p>
    <w:p w14:paraId="2CFBEC93" w14:textId="7D371DBC" w:rsidR="003A0531" w:rsidRPr="00266FE9" w:rsidRDefault="003A0531" w:rsidP="007802FA">
      <w:pPr>
        <w:rPr>
          <w:color w:val="333333"/>
        </w:rPr>
      </w:pPr>
      <w:r w:rsidRPr="00266FE9">
        <w:rPr>
          <w:color w:val="333333"/>
        </w:rPr>
        <w:t>In 2021</w:t>
      </w:r>
      <w:r w:rsidR="00045891">
        <w:rPr>
          <w:color w:val="333333"/>
        </w:rPr>
        <w:t>,</w:t>
      </w:r>
      <w:r w:rsidRPr="00266FE9">
        <w:rPr>
          <w:color w:val="333333"/>
        </w:rPr>
        <w:t xml:space="preserve"> Stats NZ </w:t>
      </w:r>
      <w:r w:rsidR="00045891">
        <w:rPr>
          <w:color w:val="333333"/>
        </w:rPr>
        <w:t>consulted on</w:t>
      </w:r>
      <w:r w:rsidRPr="00266FE9">
        <w:rPr>
          <w:color w:val="333333"/>
        </w:rPr>
        <w:t xml:space="preserve"> user needs for the 2023 HDS. The questions </w:t>
      </w:r>
      <w:r w:rsidRPr="00266FE9" w:rsidDel="003758E7">
        <w:rPr>
          <w:color w:val="333333"/>
        </w:rPr>
        <w:t xml:space="preserve">included </w:t>
      </w:r>
      <w:r w:rsidRPr="00266FE9">
        <w:rPr>
          <w:color w:val="333333"/>
        </w:rPr>
        <w:t>in the HDS were a direct result of this consultation. The survey questionnaire ha</w:t>
      </w:r>
      <w:r w:rsidR="009B50EF">
        <w:rPr>
          <w:color w:val="333333"/>
        </w:rPr>
        <w:t>d</w:t>
      </w:r>
      <w:r w:rsidRPr="00266FE9">
        <w:rPr>
          <w:color w:val="333333"/>
        </w:rPr>
        <w:t xml:space="preserve"> 11 topics or modules: </w:t>
      </w:r>
    </w:p>
    <w:p w14:paraId="57AF91ED"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screening</w:t>
      </w:r>
    </w:p>
    <w:p w14:paraId="057E18BA"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assistive equipment and technology</w:t>
      </w:r>
    </w:p>
    <w:p w14:paraId="51875310"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personal and household support</w:t>
      </w:r>
    </w:p>
    <w:p w14:paraId="4F8A6F31"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health services</w:t>
      </w:r>
    </w:p>
    <w:p w14:paraId="0CD8979A"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employment</w:t>
      </w:r>
    </w:p>
    <w:p w14:paraId="6C3C9887"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education</w:t>
      </w:r>
    </w:p>
    <w:p w14:paraId="6BB46BFA"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transport</w:t>
      </w:r>
    </w:p>
    <w:p w14:paraId="039F3642"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housing</w:t>
      </w:r>
    </w:p>
    <w:p w14:paraId="0DF12CC4"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leisure</w:t>
      </w:r>
    </w:p>
    <w:p w14:paraId="784F03D0" w14:textId="77777777" w:rsidR="003A0531" w:rsidRPr="00266FE9" w:rsidRDefault="003A0531" w:rsidP="003A0531">
      <w:pPr>
        <w:pStyle w:val="ListParagraph"/>
        <w:numPr>
          <w:ilvl w:val="0"/>
          <w:numId w:val="15"/>
        </w:numPr>
        <w:spacing w:after="160" w:line="259" w:lineRule="auto"/>
        <w:rPr>
          <w:color w:val="333333"/>
        </w:rPr>
      </w:pPr>
      <w:r w:rsidRPr="00266FE9">
        <w:rPr>
          <w:color w:val="333333"/>
        </w:rPr>
        <w:t>wellbeing</w:t>
      </w:r>
    </w:p>
    <w:p w14:paraId="0A522DA3" w14:textId="655619E8" w:rsidR="003A0531" w:rsidRPr="00266FE9" w:rsidRDefault="003A0531" w:rsidP="003A0531">
      <w:pPr>
        <w:pStyle w:val="ListParagraph"/>
        <w:numPr>
          <w:ilvl w:val="0"/>
          <w:numId w:val="15"/>
        </w:numPr>
        <w:spacing w:after="160" w:line="259" w:lineRule="auto"/>
        <w:rPr>
          <w:color w:val="333333"/>
        </w:rPr>
      </w:pPr>
      <w:r w:rsidRPr="00266FE9">
        <w:rPr>
          <w:color w:val="333333"/>
        </w:rPr>
        <w:t>child’s main carer</w:t>
      </w:r>
      <w:r w:rsidR="007E3416">
        <w:rPr>
          <w:color w:val="333333"/>
        </w:rPr>
        <w:t>.</w:t>
      </w:r>
    </w:p>
    <w:p w14:paraId="0DAD8F6C" w14:textId="228D21F1" w:rsidR="003A0531" w:rsidRPr="001C3C2C" w:rsidRDefault="00091662" w:rsidP="003A0531">
      <w:pPr>
        <w:rPr>
          <w:color w:val="333333"/>
        </w:rPr>
      </w:pPr>
      <w:hyperlink r:id="rId45" w:history="1">
        <w:r w:rsidRPr="001C3C2C">
          <w:rPr>
            <w:rStyle w:val="Hyperlink"/>
          </w:rPr>
          <w:t>Household Disability Survey 2023: Final content</w:t>
        </w:r>
      </w:hyperlink>
      <w:r w:rsidR="005265F3">
        <w:t>,</w:t>
      </w:r>
      <w:r w:rsidR="00914A81">
        <w:t xml:space="preserve"> </w:t>
      </w:r>
      <w:r w:rsidR="005265F3" w:rsidRPr="001C3C2C">
        <w:rPr>
          <w:color w:val="333333"/>
        </w:rPr>
        <w:t>published in January 2023</w:t>
      </w:r>
      <w:r w:rsidR="005265F3">
        <w:rPr>
          <w:color w:val="333333"/>
        </w:rPr>
        <w:t xml:space="preserve">, </w:t>
      </w:r>
      <w:r w:rsidR="00F95660">
        <w:t>is a</w:t>
      </w:r>
      <w:r w:rsidR="003A0531" w:rsidRPr="001C3C2C">
        <w:rPr>
          <w:color w:val="333333"/>
        </w:rPr>
        <w:t xml:space="preserve"> full report on the survey content.</w:t>
      </w:r>
    </w:p>
    <w:p w14:paraId="29E7CC11" w14:textId="23B3D4EB" w:rsidR="00CD6C49" w:rsidRDefault="00CD6C49" w:rsidP="00CD6C49">
      <w:pPr>
        <w:pStyle w:val="Heading2"/>
      </w:pPr>
      <w:bookmarkStart w:id="185" w:name="_Toc187762898"/>
      <w:bookmarkStart w:id="186" w:name="_Toc187763583"/>
      <w:bookmarkStart w:id="187" w:name="_Toc187763859"/>
      <w:bookmarkStart w:id="188" w:name="_Toc190856862"/>
      <w:r>
        <w:t>7.4 Target population</w:t>
      </w:r>
      <w:bookmarkEnd w:id="185"/>
      <w:bookmarkEnd w:id="186"/>
      <w:bookmarkEnd w:id="187"/>
      <w:bookmarkEnd w:id="188"/>
    </w:p>
    <w:p w14:paraId="1DEFF299" w14:textId="49778CAD" w:rsidR="009A2E83" w:rsidRDefault="00483D13" w:rsidP="00483D13">
      <w:pPr>
        <w:rPr>
          <w:color w:val="333333"/>
        </w:rPr>
      </w:pPr>
      <w:r w:rsidRPr="001C3C2C">
        <w:rPr>
          <w:color w:val="333333"/>
        </w:rPr>
        <w:t xml:space="preserve">The target population of a survey is the population about which the survey </w:t>
      </w:r>
      <w:r w:rsidR="001670B5">
        <w:rPr>
          <w:color w:val="333333"/>
        </w:rPr>
        <w:t xml:space="preserve">intends </w:t>
      </w:r>
      <w:r w:rsidRPr="001C3C2C">
        <w:rPr>
          <w:color w:val="333333"/>
        </w:rPr>
        <w:t xml:space="preserve">to produce data. </w:t>
      </w:r>
    </w:p>
    <w:p w14:paraId="536674A4" w14:textId="29222F8F" w:rsidR="00483D13" w:rsidRPr="001C3C2C" w:rsidRDefault="00483D13" w:rsidP="00483D13">
      <w:pPr>
        <w:rPr>
          <w:color w:val="333333"/>
        </w:rPr>
      </w:pPr>
      <w:r w:rsidRPr="001C3C2C">
        <w:rPr>
          <w:color w:val="333333"/>
        </w:rPr>
        <w:t>The target population for the 2023 HDS was</w:t>
      </w:r>
      <w:r w:rsidR="00927701">
        <w:rPr>
          <w:color w:val="333333"/>
        </w:rPr>
        <w:t xml:space="preserve"> </w:t>
      </w:r>
      <w:r w:rsidR="00D27C36">
        <w:rPr>
          <w:color w:val="333333"/>
        </w:rPr>
        <w:t>t</w:t>
      </w:r>
      <w:r w:rsidRPr="001C3C2C">
        <w:rPr>
          <w:color w:val="333333"/>
        </w:rPr>
        <w:t xml:space="preserve">he usually resident population of New Zealand, living in occupied private dwellings or in residential and community care facilities, at the </w:t>
      </w:r>
      <w:r w:rsidR="00C1594A" w:rsidRPr="009C0D13">
        <w:t>2023</w:t>
      </w:r>
      <w:r w:rsidR="00C1594A">
        <w:t xml:space="preserve"> </w:t>
      </w:r>
      <w:r w:rsidR="00C1594A" w:rsidRPr="009C0D13">
        <w:t>Census</w:t>
      </w:r>
      <w:r w:rsidRPr="001C3C2C">
        <w:rPr>
          <w:color w:val="333333"/>
        </w:rPr>
        <w:t xml:space="preserve">. </w:t>
      </w:r>
    </w:p>
    <w:p w14:paraId="1C959B29" w14:textId="77777777" w:rsidR="00483D13" w:rsidRPr="001C3C2C" w:rsidRDefault="00483D13" w:rsidP="00483D13">
      <w:pPr>
        <w:rPr>
          <w:color w:val="333333"/>
        </w:rPr>
      </w:pPr>
      <w:r w:rsidRPr="001C3C2C">
        <w:rPr>
          <w:color w:val="333333"/>
        </w:rPr>
        <w:t xml:space="preserve">The usually resident population of New Zealand at the 2023 Census included all people who usually live and were present in New Zealand for the 2023 Census. It excluded overseas visitors and New Zealand residents who were temporarily overseas. </w:t>
      </w:r>
    </w:p>
    <w:p w14:paraId="50992654" w14:textId="4D51BC67" w:rsidR="006331F7" w:rsidRDefault="7CF58B2E" w:rsidP="3524BD2A">
      <w:pPr>
        <w:rPr>
          <w:color w:val="333333"/>
        </w:rPr>
      </w:pPr>
      <w:r w:rsidRPr="3524BD2A">
        <w:rPr>
          <w:color w:val="333333"/>
        </w:rPr>
        <w:t>The two types of dwellings included in the target population (private dwellings and residential and community care facilities) were identified using the 2023 Census classification of dwelling types.</w:t>
      </w:r>
      <w:r w:rsidR="5D3B6FF3" w:rsidRPr="3524BD2A">
        <w:rPr>
          <w:color w:val="333333"/>
        </w:rPr>
        <w:t xml:space="preserve"> </w:t>
      </w:r>
      <w:r w:rsidRPr="3524BD2A">
        <w:rPr>
          <w:color w:val="333333"/>
        </w:rPr>
        <w:t xml:space="preserve">As part of </w:t>
      </w:r>
      <w:r w:rsidR="032A3FE4" w:rsidRPr="3524BD2A">
        <w:rPr>
          <w:color w:val="333333"/>
        </w:rPr>
        <w:t>c</w:t>
      </w:r>
      <w:r w:rsidRPr="3524BD2A">
        <w:rPr>
          <w:color w:val="333333"/>
        </w:rPr>
        <w:t xml:space="preserve">ensus, every dwelling in New Zealand is assessed and assigned a dwelling type. </w:t>
      </w:r>
    </w:p>
    <w:p w14:paraId="326E36BB" w14:textId="11D81E80" w:rsidR="00483D13" w:rsidRPr="001C3C2C" w:rsidDel="00662ED8" w:rsidRDefault="191C6041" w:rsidP="3524BD2A">
      <w:pPr>
        <w:rPr>
          <w:color w:val="333333"/>
        </w:rPr>
      </w:pPr>
      <w:hyperlink r:id="rId46" w:anchor="ClassificationView:uri=http://stats.govt.nz/cms/ClassificationVersion/QyJwry9W1jF9nyZe">
        <w:r w:rsidRPr="3524BD2A">
          <w:rPr>
            <w:rStyle w:val="Hyperlink"/>
          </w:rPr>
          <w:t xml:space="preserve">Census </w:t>
        </w:r>
        <w:r w:rsidR="6B2C7BBC" w:rsidRPr="3524BD2A">
          <w:rPr>
            <w:rStyle w:val="Hyperlink"/>
          </w:rPr>
          <w:t>d</w:t>
        </w:r>
        <w:r w:rsidRPr="3524BD2A">
          <w:rPr>
            <w:rStyle w:val="Hyperlink"/>
          </w:rPr>
          <w:t xml:space="preserve">welling </w:t>
        </w:r>
        <w:r w:rsidR="6B2C7BBC" w:rsidRPr="3524BD2A">
          <w:rPr>
            <w:rStyle w:val="Hyperlink"/>
          </w:rPr>
          <w:t>t</w:t>
        </w:r>
        <w:r w:rsidRPr="3524BD2A">
          <w:rPr>
            <w:rStyle w:val="Hyperlink"/>
          </w:rPr>
          <w:t xml:space="preserve">ype </w:t>
        </w:r>
        <w:r w:rsidR="6B2C7BBC" w:rsidRPr="3524BD2A">
          <w:rPr>
            <w:rStyle w:val="Hyperlink"/>
          </w:rPr>
          <w:t>c</w:t>
        </w:r>
        <w:r w:rsidRPr="3524BD2A">
          <w:rPr>
            <w:rStyle w:val="Hyperlink"/>
          </w:rPr>
          <w:t>lassification</w:t>
        </w:r>
      </w:hyperlink>
      <w:r w:rsidR="3CB714BC" w:rsidRPr="3524BD2A">
        <w:t xml:space="preserve"> </w:t>
      </w:r>
      <w:r w:rsidR="0A98EC10" w:rsidRPr="3524BD2A">
        <w:t>details</w:t>
      </w:r>
      <w:r w:rsidR="3CB714BC" w:rsidRPr="3524BD2A">
        <w:t xml:space="preserve"> the </w:t>
      </w:r>
      <w:r w:rsidR="3CB714BC" w:rsidRPr="3524BD2A">
        <w:rPr>
          <w:color w:val="333333"/>
        </w:rPr>
        <w:t>dwelling type classification</w:t>
      </w:r>
      <w:r w:rsidR="7CF58B2E" w:rsidRPr="3524BD2A">
        <w:rPr>
          <w:color w:val="333333"/>
        </w:rPr>
        <w:t>.</w:t>
      </w:r>
    </w:p>
    <w:p w14:paraId="3C8C6CE3" w14:textId="23FD8880" w:rsidR="00CD6C49" w:rsidRPr="00483D13" w:rsidRDefault="00483D13" w:rsidP="00483D13">
      <w:pPr>
        <w:rPr>
          <w:color w:val="333333"/>
        </w:rPr>
      </w:pPr>
      <w:r w:rsidRPr="001C3C2C">
        <w:rPr>
          <w:color w:val="333333"/>
        </w:rPr>
        <w:t xml:space="preserve">The target population excluded people living in </w:t>
      </w:r>
      <w:r w:rsidR="003322F2">
        <w:rPr>
          <w:color w:val="333333"/>
        </w:rPr>
        <w:t xml:space="preserve">all types of </w:t>
      </w:r>
      <w:r w:rsidRPr="001C3C2C">
        <w:rPr>
          <w:color w:val="333333"/>
        </w:rPr>
        <w:t xml:space="preserve">non-private dwellings </w:t>
      </w:r>
      <w:r w:rsidR="003322F2">
        <w:rPr>
          <w:color w:val="333333"/>
        </w:rPr>
        <w:t>except</w:t>
      </w:r>
      <w:r w:rsidRPr="001C3C2C">
        <w:rPr>
          <w:color w:val="333333"/>
        </w:rPr>
        <w:t xml:space="preserve"> residential and community care facilities. Examples of people excluded </w:t>
      </w:r>
      <w:r w:rsidRPr="001C3C2C" w:rsidDel="00E81D64">
        <w:rPr>
          <w:color w:val="333333"/>
        </w:rPr>
        <w:t xml:space="preserve">on this basis </w:t>
      </w:r>
      <w:r w:rsidRPr="001C3C2C">
        <w:rPr>
          <w:color w:val="333333"/>
        </w:rPr>
        <w:t>were those living in hotels, motels, hostels, military camps, aged care facilities, hospitals</w:t>
      </w:r>
      <w:r w:rsidR="006C3530">
        <w:rPr>
          <w:color w:val="333333"/>
        </w:rPr>
        <w:t>,</w:t>
      </w:r>
      <w:r w:rsidRPr="001C3C2C">
        <w:rPr>
          <w:color w:val="333333"/>
        </w:rPr>
        <w:t xml:space="preserve"> and in prison.</w:t>
      </w:r>
      <w:r w:rsidR="00CD6C49" w:rsidRPr="49854343">
        <w:rPr>
          <w:rFonts w:cstheme="minorBidi"/>
          <w:color w:val="000000"/>
          <w:shd w:val="clear" w:color="auto" w:fill="FFFFFF"/>
        </w:rPr>
        <w:t xml:space="preserve"> </w:t>
      </w:r>
    </w:p>
    <w:p w14:paraId="04B0A4D7" w14:textId="078779A1" w:rsidR="00BA69EC" w:rsidRDefault="00BA69EC" w:rsidP="00BA69EC">
      <w:pPr>
        <w:pStyle w:val="Heading2"/>
      </w:pPr>
      <w:bookmarkStart w:id="189" w:name="_Toc187762899"/>
      <w:bookmarkStart w:id="190" w:name="_Toc187763584"/>
      <w:bookmarkStart w:id="191" w:name="_Toc187763860"/>
      <w:bookmarkStart w:id="192" w:name="_Toc190856863"/>
      <w:r>
        <w:t>7.5 Sample design</w:t>
      </w:r>
      <w:bookmarkEnd w:id="189"/>
      <w:bookmarkEnd w:id="190"/>
      <w:bookmarkEnd w:id="191"/>
      <w:bookmarkEnd w:id="192"/>
    </w:p>
    <w:p w14:paraId="360F5C09" w14:textId="0DDBAE43" w:rsidR="00C636CC" w:rsidRPr="001C3C2C" w:rsidRDefault="14564CA9" w:rsidP="3524BD2A">
      <w:pPr>
        <w:rPr>
          <w:color w:val="333333"/>
        </w:rPr>
      </w:pPr>
      <w:r w:rsidRPr="3524BD2A">
        <w:rPr>
          <w:color w:val="333333"/>
        </w:rPr>
        <w:t>The HDS is a post-</w:t>
      </w:r>
      <w:proofErr w:type="spellStart"/>
      <w:r w:rsidRPr="3524BD2A">
        <w:rPr>
          <w:color w:val="333333"/>
        </w:rPr>
        <w:t>censal</w:t>
      </w:r>
      <w:proofErr w:type="spellEnd"/>
      <w:r w:rsidRPr="3524BD2A">
        <w:rPr>
          <w:color w:val="333333"/>
        </w:rPr>
        <w:t xml:space="preserve"> survey </w:t>
      </w:r>
      <w:r w:rsidR="3E117887" w:rsidRPr="3524BD2A">
        <w:rPr>
          <w:color w:val="333333"/>
        </w:rPr>
        <w:t>– a</w:t>
      </w:r>
      <w:r w:rsidRPr="3524BD2A">
        <w:rPr>
          <w:color w:val="333333"/>
        </w:rPr>
        <w:t xml:space="preserve"> survey </w:t>
      </w:r>
      <w:r w:rsidR="3E117887" w:rsidRPr="3524BD2A">
        <w:rPr>
          <w:color w:val="333333"/>
        </w:rPr>
        <w:t xml:space="preserve">that </w:t>
      </w:r>
      <w:r w:rsidRPr="3524BD2A">
        <w:rPr>
          <w:color w:val="333333"/>
        </w:rPr>
        <w:t xml:space="preserve">uses a census to support the survey sample design. </w:t>
      </w:r>
      <w:r w:rsidR="148F7C11" w:rsidRPr="3524BD2A">
        <w:rPr>
          <w:color w:val="333333"/>
        </w:rPr>
        <w:t>A post-</w:t>
      </w:r>
      <w:proofErr w:type="spellStart"/>
      <w:r w:rsidR="148F7C11" w:rsidRPr="3524BD2A">
        <w:rPr>
          <w:color w:val="333333"/>
        </w:rPr>
        <w:t>censal</w:t>
      </w:r>
      <w:proofErr w:type="spellEnd"/>
      <w:r w:rsidR="148F7C11" w:rsidRPr="3524BD2A">
        <w:rPr>
          <w:color w:val="333333"/>
        </w:rPr>
        <w:t xml:space="preserve"> survey </w:t>
      </w:r>
      <w:r w:rsidRPr="3524BD2A">
        <w:rPr>
          <w:color w:val="333333"/>
        </w:rPr>
        <w:t>enables people in a particular subpopulation (like disabled people) to have a higher chance of being included in the sample than would occur with a random selection. It is a cost-effective way to survey smaller population groups.</w:t>
      </w:r>
      <w:r w:rsidR="5D3B6FF3" w:rsidRPr="3524BD2A">
        <w:rPr>
          <w:color w:val="333333"/>
        </w:rPr>
        <w:t xml:space="preserve"> </w:t>
      </w:r>
    </w:p>
    <w:p w14:paraId="2B6BCADC" w14:textId="7D71A787" w:rsidR="00764D77" w:rsidRDefault="14564CA9" w:rsidP="3524BD2A">
      <w:pPr>
        <w:rPr>
          <w:color w:val="333333"/>
        </w:rPr>
      </w:pPr>
      <w:r w:rsidRPr="3524BD2A">
        <w:rPr>
          <w:color w:val="333333"/>
        </w:rPr>
        <w:t>T</w:t>
      </w:r>
      <w:r w:rsidR="2B53E057" w:rsidRPr="3524BD2A">
        <w:rPr>
          <w:color w:val="333333"/>
        </w:rPr>
        <w:t xml:space="preserve">he </w:t>
      </w:r>
      <w:r w:rsidRPr="3524BD2A">
        <w:rPr>
          <w:color w:val="333333"/>
        </w:rPr>
        <w:t xml:space="preserve">2023 Census </w:t>
      </w:r>
      <w:r w:rsidR="25D7099C" w:rsidRPr="3524BD2A">
        <w:rPr>
          <w:color w:val="333333"/>
        </w:rPr>
        <w:t>included questions about activity limitations and limiting health conditions</w:t>
      </w:r>
      <w:r w:rsidR="715B974F" w:rsidRPr="3524BD2A">
        <w:rPr>
          <w:color w:val="333333"/>
        </w:rPr>
        <w:t xml:space="preserve">. </w:t>
      </w:r>
      <w:r w:rsidR="17042A1A" w:rsidRPr="3524BD2A">
        <w:rPr>
          <w:color w:val="333333"/>
        </w:rPr>
        <w:t xml:space="preserve">During </w:t>
      </w:r>
      <w:r w:rsidRPr="3524BD2A">
        <w:rPr>
          <w:color w:val="333333"/>
        </w:rPr>
        <w:t>HDS sample selection,</w:t>
      </w:r>
      <w:r w:rsidR="715B974F" w:rsidRPr="3524BD2A">
        <w:rPr>
          <w:color w:val="333333"/>
        </w:rPr>
        <w:t xml:space="preserve"> t</w:t>
      </w:r>
      <w:r w:rsidR="25D7099C" w:rsidRPr="3524BD2A">
        <w:rPr>
          <w:color w:val="333333"/>
        </w:rPr>
        <w:t>h</w:t>
      </w:r>
      <w:r w:rsidR="3A766DD7" w:rsidRPr="3524BD2A">
        <w:rPr>
          <w:color w:val="333333"/>
        </w:rPr>
        <w:t xml:space="preserve">ose </w:t>
      </w:r>
      <w:r w:rsidR="25D7099C" w:rsidRPr="3524BD2A">
        <w:rPr>
          <w:color w:val="333333"/>
        </w:rPr>
        <w:t xml:space="preserve">questions </w:t>
      </w:r>
      <w:r w:rsidRPr="3524BD2A">
        <w:rPr>
          <w:color w:val="333333"/>
        </w:rPr>
        <w:t xml:space="preserve">were used to indicate people who were more likely to meet the threshold for being disabled in the </w:t>
      </w:r>
      <w:r w:rsidR="4A82E510" w:rsidRPr="3524BD2A">
        <w:rPr>
          <w:color w:val="333333"/>
        </w:rPr>
        <w:t>HDS</w:t>
      </w:r>
      <w:r w:rsidRPr="3524BD2A">
        <w:rPr>
          <w:color w:val="333333"/>
        </w:rPr>
        <w:t>. Selecting more generously from this group increase</w:t>
      </w:r>
      <w:r w:rsidR="6F0D2A3A" w:rsidRPr="3524BD2A">
        <w:rPr>
          <w:color w:val="333333"/>
        </w:rPr>
        <w:t>d</w:t>
      </w:r>
      <w:r w:rsidRPr="3524BD2A">
        <w:rPr>
          <w:color w:val="333333"/>
        </w:rPr>
        <w:t xml:space="preserve"> the likelihood of having enough disabled people in the sample. Without this</w:t>
      </w:r>
      <w:r w:rsidR="2C3A7AD7" w:rsidRPr="3524BD2A">
        <w:rPr>
          <w:color w:val="333333"/>
        </w:rPr>
        <w:t xml:space="preserve"> </w:t>
      </w:r>
      <w:r w:rsidRPr="3524BD2A">
        <w:rPr>
          <w:color w:val="333333"/>
        </w:rPr>
        <w:t>approach</w:t>
      </w:r>
      <w:r w:rsidR="694E4CC0" w:rsidRPr="3524BD2A">
        <w:rPr>
          <w:color w:val="333333"/>
        </w:rPr>
        <w:t>,</w:t>
      </w:r>
      <w:r w:rsidRPr="3524BD2A">
        <w:rPr>
          <w:color w:val="333333"/>
        </w:rPr>
        <w:t xml:space="preserve"> a larger and more expensive survey would </w:t>
      </w:r>
      <w:r w:rsidR="0C02A975" w:rsidRPr="3524BD2A">
        <w:rPr>
          <w:color w:val="333333"/>
        </w:rPr>
        <w:t>have been</w:t>
      </w:r>
      <w:r w:rsidRPr="3524BD2A">
        <w:rPr>
          <w:color w:val="333333"/>
        </w:rPr>
        <w:t xml:space="preserve"> required to achieve estimates of the same quality. In addition, information collected in Census could be used in the analysis of the survey which reduces the burden on respondents and data collection costs.</w:t>
      </w:r>
    </w:p>
    <w:p w14:paraId="7625F998" w14:textId="77777777" w:rsidR="00C636CC" w:rsidRPr="001C3C2C" w:rsidRDefault="00C636CC" w:rsidP="00C636CC">
      <w:pPr>
        <w:rPr>
          <w:color w:val="333333"/>
        </w:rPr>
      </w:pPr>
      <w:r w:rsidRPr="001C3C2C">
        <w:rPr>
          <w:color w:val="333333"/>
        </w:rPr>
        <w:t>The sample selection for the HDS was conducted in two stages:</w:t>
      </w:r>
    </w:p>
    <w:p w14:paraId="29E52BB7" w14:textId="5497194E" w:rsidR="00C636CC" w:rsidRPr="001D2654" w:rsidRDefault="67305457" w:rsidP="3524BD2A">
      <w:pPr>
        <w:pStyle w:val="ListParagraph"/>
        <w:numPr>
          <w:ilvl w:val="0"/>
          <w:numId w:val="16"/>
        </w:numPr>
        <w:spacing w:after="160" w:line="259" w:lineRule="auto"/>
        <w:rPr>
          <w:color w:val="333333"/>
        </w:rPr>
      </w:pPr>
      <w:r w:rsidRPr="3524BD2A">
        <w:rPr>
          <w:color w:val="333333"/>
        </w:rPr>
        <w:t>S</w:t>
      </w:r>
      <w:r w:rsidR="14564CA9" w:rsidRPr="3524BD2A">
        <w:rPr>
          <w:color w:val="333333"/>
        </w:rPr>
        <w:t>electing primary sampling units</w:t>
      </w:r>
      <w:r w:rsidR="39DCE433" w:rsidRPr="3524BD2A">
        <w:rPr>
          <w:color w:val="333333"/>
        </w:rPr>
        <w:t xml:space="preserve"> (PSUs)</w:t>
      </w:r>
      <w:r w:rsidR="14564CA9" w:rsidRPr="3524BD2A">
        <w:rPr>
          <w:color w:val="333333"/>
        </w:rPr>
        <w:t xml:space="preserve">. </w:t>
      </w:r>
      <w:r w:rsidR="39DCE433" w:rsidRPr="3524BD2A">
        <w:rPr>
          <w:color w:val="333333"/>
        </w:rPr>
        <w:t xml:space="preserve">PSUs </w:t>
      </w:r>
      <w:r w:rsidR="14564CA9" w:rsidRPr="3524BD2A">
        <w:rPr>
          <w:color w:val="333333"/>
        </w:rPr>
        <w:t>are small geographic areas designed to contain a standard number of dwellings.</w:t>
      </w:r>
    </w:p>
    <w:p w14:paraId="57CAC9BF" w14:textId="22FB1819" w:rsidR="00C636CC" w:rsidRPr="001D2654" w:rsidRDefault="005A5A5F" w:rsidP="00C636CC">
      <w:pPr>
        <w:pStyle w:val="ListParagraph"/>
        <w:numPr>
          <w:ilvl w:val="0"/>
          <w:numId w:val="16"/>
        </w:numPr>
        <w:spacing w:after="160" w:line="259" w:lineRule="auto"/>
        <w:rPr>
          <w:color w:val="333333"/>
        </w:rPr>
      </w:pPr>
      <w:r>
        <w:rPr>
          <w:color w:val="333333"/>
        </w:rPr>
        <w:t>S</w:t>
      </w:r>
      <w:r w:rsidR="00C636CC" w:rsidRPr="001D2654">
        <w:rPr>
          <w:color w:val="333333"/>
        </w:rPr>
        <w:t>elect</w:t>
      </w:r>
      <w:r>
        <w:rPr>
          <w:color w:val="333333"/>
        </w:rPr>
        <w:t>ing</w:t>
      </w:r>
      <w:r w:rsidR="00C636CC" w:rsidRPr="001D2654">
        <w:rPr>
          <w:color w:val="333333"/>
        </w:rPr>
        <w:t xml:space="preserve"> people from within PSUs based on information from their </w:t>
      </w:r>
      <w:r w:rsidR="00BE03D7">
        <w:rPr>
          <w:color w:val="333333"/>
        </w:rPr>
        <w:t xml:space="preserve">2023 </w:t>
      </w:r>
      <w:r w:rsidR="00C636CC" w:rsidRPr="001D2654">
        <w:rPr>
          <w:color w:val="333333"/>
        </w:rPr>
        <w:t>Census forms.</w:t>
      </w:r>
    </w:p>
    <w:p w14:paraId="66132BE7" w14:textId="19D26DA6" w:rsidR="004F0238" w:rsidRDefault="14564CA9" w:rsidP="3524BD2A">
      <w:pPr>
        <w:rPr>
          <w:color w:val="333333"/>
        </w:rPr>
      </w:pPr>
      <w:r w:rsidRPr="3524BD2A">
        <w:rPr>
          <w:color w:val="333333"/>
        </w:rPr>
        <w:t>In st</w:t>
      </w:r>
      <w:r w:rsidR="6B14D274" w:rsidRPr="3524BD2A">
        <w:rPr>
          <w:color w:val="333333"/>
        </w:rPr>
        <w:t>age</w:t>
      </w:r>
      <w:r w:rsidRPr="3524BD2A">
        <w:rPr>
          <w:color w:val="333333"/>
        </w:rPr>
        <w:t xml:space="preserve"> one, a sample of PSUs were selected from a list or ‘sampling frame’. This frame of PSUs is used to select samples and manage overlap for all Stats NZ household surveys. The frame lists PSUs with attributes determined by data collected in the </w:t>
      </w:r>
      <w:r w:rsidR="3661DD17" w:rsidRPr="3524BD2A">
        <w:rPr>
          <w:color w:val="333333"/>
        </w:rPr>
        <w:t xml:space="preserve">2023 </w:t>
      </w:r>
      <w:r w:rsidRPr="3524BD2A">
        <w:rPr>
          <w:color w:val="333333"/>
        </w:rPr>
        <w:t xml:space="preserve">Census. </w:t>
      </w:r>
    </w:p>
    <w:p w14:paraId="19AA7C0E" w14:textId="55F4E1C2" w:rsidR="00C636CC" w:rsidRPr="001C3C2C" w:rsidRDefault="00C636CC" w:rsidP="00C636CC">
      <w:pPr>
        <w:rPr>
          <w:color w:val="333333"/>
        </w:rPr>
      </w:pPr>
      <w:r w:rsidRPr="001C3C2C">
        <w:rPr>
          <w:color w:val="333333"/>
        </w:rPr>
        <w:t xml:space="preserve">PSUs were divided into groups or ‘strata’ based on which region they belonged to and whether they were classified as urban or rural. </w:t>
      </w:r>
      <w:r w:rsidR="00E525F3">
        <w:rPr>
          <w:color w:val="333333"/>
        </w:rPr>
        <w:t xml:space="preserve">A proportionate </w:t>
      </w:r>
      <w:r w:rsidR="00D37586">
        <w:rPr>
          <w:color w:val="333333"/>
        </w:rPr>
        <w:t xml:space="preserve">number of </w:t>
      </w:r>
      <w:r w:rsidRPr="001C3C2C">
        <w:rPr>
          <w:color w:val="333333"/>
        </w:rPr>
        <w:t>PSUs w</w:t>
      </w:r>
      <w:r>
        <w:rPr>
          <w:color w:val="333333"/>
        </w:rPr>
        <w:t>ere</w:t>
      </w:r>
      <w:r w:rsidRPr="001C3C2C">
        <w:rPr>
          <w:color w:val="333333"/>
        </w:rPr>
        <w:t xml:space="preserve"> selected from each region</w:t>
      </w:r>
      <w:r w:rsidR="003302A8">
        <w:rPr>
          <w:color w:val="333333"/>
        </w:rPr>
        <w:t>,</w:t>
      </w:r>
      <w:r w:rsidDel="003302A8">
        <w:rPr>
          <w:color w:val="333333"/>
        </w:rPr>
        <w:t xml:space="preserve"> </w:t>
      </w:r>
      <w:r>
        <w:rPr>
          <w:color w:val="333333"/>
        </w:rPr>
        <w:t xml:space="preserve">with the aim of making </w:t>
      </w:r>
      <w:r w:rsidRPr="001C3C2C">
        <w:rPr>
          <w:color w:val="333333"/>
        </w:rPr>
        <w:t>the sample representative of New Zealand’s regional population distribution. For this survey, 1,805 PSUs were selected.</w:t>
      </w:r>
    </w:p>
    <w:p w14:paraId="01CBAA9C" w14:textId="10436827" w:rsidR="00540A2A" w:rsidRDefault="14564CA9" w:rsidP="3524BD2A">
      <w:pPr>
        <w:rPr>
          <w:color w:val="333333"/>
        </w:rPr>
      </w:pPr>
      <w:r w:rsidRPr="3524BD2A">
        <w:rPr>
          <w:color w:val="333333"/>
        </w:rPr>
        <w:t xml:space="preserve">During PSU selection, efforts were made to improve the quality of survey estimates for Pacific people. This was done by deliberately oversampling PSUs that were known to have a relatively high number of Pacific people living in them. The oversampling of </w:t>
      </w:r>
      <w:r w:rsidR="258E79F8" w:rsidRPr="3524BD2A">
        <w:rPr>
          <w:color w:val="333333"/>
        </w:rPr>
        <w:t>‘</w:t>
      </w:r>
      <w:r w:rsidRPr="3524BD2A">
        <w:rPr>
          <w:color w:val="333333"/>
        </w:rPr>
        <w:t>Pacific-dense</w:t>
      </w:r>
      <w:r w:rsidR="258E79F8" w:rsidRPr="3524BD2A">
        <w:rPr>
          <w:color w:val="333333"/>
        </w:rPr>
        <w:t>’</w:t>
      </w:r>
      <w:r w:rsidRPr="3524BD2A">
        <w:rPr>
          <w:color w:val="333333"/>
        </w:rPr>
        <w:t xml:space="preserve"> PSUs was expected to increase the number of Pacific people in the HDS and, therefore, create better quality estimates for Pacific people. </w:t>
      </w:r>
    </w:p>
    <w:p w14:paraId="3C65EC7E" w14:textId="4579D3E0" w:rsidR="00C636CC" w:rsidRPr="001C3C2C" w:rsidRDefault="00C636CC" w:rsidP="00C636CC">
      <w:pPr>
        <w:rPr>
          <w:b/>
          <w:bCs/>
          <w:color w:val="333333"/>
        </w:rPr>
      </w:pPr>
      <w:r w:rsidRPr="001C3C2C">
        <w:rPr>
          <w:color w:val="333333"/>
        </w:rPr>
        <w:t>More direct methods were taken to help ensure that there were sufficient children</w:t>
      </w:r>
      <w:r w:rsidR="00D37586">
        <w:rPr>
          <w:color w:val="333333"/>
        </w:rPr>
        <w:t xml:space="preserve">, </w:t>
      </w:r>
      <w:r w:rsidRPr="001C3C2C">
        <w:rPr>
          <w:color w:val="333333"/>
        </w:rPr>
        <w:t>Māori</w:t>
      </w:r>
      <w:r w:rsidR="00D37586">
        <w:rPr>
          <w:color w:val="333333"/>
        </w:rPr>
        <w:t>, and disabled people</w:t>
      </w:r>
      <w:r w:rsidRPr="001C3C2C">
        <w:rPr>
          <w:color w:val="333333"/>
        </w:rPr>
        <w:t xml:space="preserve"> in the sample</w:t>
      </w:r>
      <w:r w:rsidR="0062352D">
        <w:rPr>
          <w:color w:val="333333"/>
        </w:rPr>
        <w:t xml:space="preserve"> (see </w:t>
      </w:r>
      <w:hyperlink w:anchor="_7.5.2_Selecting_from" w:history="1">
        <w:r w:rsidR="009E15A0">
          <w:rPr>
            <w:rStyle w:val="Hyperlink"/>
          </w:rPr>
          <w:t>7.5.2 Selecting from strata</w:t>
        </w:r>
      </w:hyperlink>
      <w:r w:rsidRPr="001C3C2C">
        <w:rPr>
          <w:color w:val="333333"/>
        </w:rPr>
        <w:t xml:space="preserve"> </w:t>
      </w:r>
      <w:r w:rsidR="0062352D">
        <w:rPr>
          <w:color w:val="333333"/>
        </w:rPr>
        <w:t>for</w:t>
      </w:r>
      <w:r w:rsidRPr="001C3C2C">
        <w:rPr>
          <w:color w:val="333333"/>
        </w:rPr>
        <w:t xml:space="preserve"> more information</w:t>
      </w:r>
      <w:r w:rsidR="000E1461">
        <w:rPr>
          <w:color w:val="333333"/>
        </w:rPr>
        <w:t>)</w:t>
      </w:r>
      <w:r w:rsidR="00F51964">
        <w:rPr>
          <w:color w:val="333333"/>
        </w:rPr>
        <w:t>.</w:t>
      </w:r>
    </w:p>
    <w:p w14:paraId="2D2E7B96" w14:textId="077D0484" w:rsidR="00C636CC" w:rsidRPr="001C3C2C" w:rsidRDefault="00C636CC" w:rsidP="00C636CC">
      <w:pPr>
        <w:rPr>
          <w:color w:val="333333"/>
        </w:rPr>
      </w:pPr>
      <w:r w:rsidRPr="001C3C2C">
        <w:rPr>
          <w:color w:val="333333"/>
        </w:rPr>
        <w:t>In st</w:t>
      </w:r>
      <w:r w:rsidR="00D16CAC">
        <w:rPr>
          <w:color w:val="333333"/>
        </w:rPr>
        <w:t>age</w:t>
      </w:r>
      <w:r w:rsidRPr="001C3C2C">
        <w:rPr>
          <w:color w:val="333333"/>
        </w:rPr>
        <w:t xml:space="preserve"> two,</w:t>
      </w:r>
      <w:r w:rsidRPr="001C3C2C" w:rsidDel="00C45C29">
        <w:rPr>
          <w:color w:val="333333"/>
        </w:rPr>
        <w:t xml:space="preserve"> </w:t>
      </w:r>
      <w:r w:rsidR="00BE03D7">
        <w:rPr>
          <w:color w:val="333333"/>
        </w:rPr>
        <w:t xml:space="preserve">2023 </w:t>
      </w:r>
      <w:r w:rsidRPr="001C3C2C">
        <w:rPr>
          <w:color w:val="333333"/>
        </w:rPr>
        <w:t>Census records were retrieved for dwellings and people within the selected PSUs to create a sampling frame</w:t>
      </w:r>
      <w:r w:rsidR="00C67F20">
        <w:rPr>
          <w:color w:val="333333"/>
        </w:rPr>
        <w:t xml:space="preserve"> of </w:t>
      </w:r>
      <w:r w:rsidR="00B13BF5">
        <w:rPr>
          <w:color w:val="333333"/>
        </w:rPr>
        <w:t>people</w:t>
      </w:r>
      <w:r w:rsidR="00D51137">
        <w:rPr>
          <w:color w:val="333333"/>
        </w:rPr>
        <w:t xml:space="preserve"> </w:t>
      </w:r>
      <w:r w:rsidR="00B13BF5">
        <w:rPr>
          <w:color w:val="333333"/>
        </w:rPr>
        <w:t xml:space="preserve">who could be selected for the HDS. </w:t>
      </w:r>
    </w:p>
    <w:p w14:paraId="2DBA4256" w14:textId="737AB031" w:rsidR="00BA69EC" w:rsidRDefault="00BA69EC" w:rsidP="00BA69EC">
      <w:pPr>
        <w:pStyle w:val="Heading3"/>
      </w:pPr>
      <w:bookmarkStart w:id="193" w:name="_Toc187762900"/>
      <w:bookmarkStart w:id="194" w:name="_Toc187763861"/>
      <w:bookmarkStart w:id="195" w:name="_Toc190856864"/>
      <w:r>
        <w:t>7.5.1 Survey population</w:t>
      </w:r>
      <w:r w:rsidR="00D25159">
        <w:t xml:space="preserve"> and s</w:t>
      </w:r>
      <w:r>
        <w:t>ampling fram</w:t>
      </w:r>
      <w:bookmarkEnd w:id="193"/>
      <w:bookmarkEnd w:id="194"/>
      <w:r w:rsidR="00A02E1C">
        <w:t>e</w:t>
      </w:r>
      <w:bookmarkEnd w:id="195"/>
    </w:p>
    <w:p w14:paraId="39C958ED" w14:textId="069D1DDC" w:rsidR="00F000F6" w:rsidRDefault="01CC7A27" w:rsidP="3524BD2A">
      <w:pPr>
        <w:rPr>
          <w:color w:val="333333"/>
        </w:rPr>
      </w:pPr>
      <w:r w:rsidRPr="3524BD2A">
        <w:rPr>
          <w:color w:val="333333"/>
        </w:rPr>
        <w:t>A</w:t>
      </w:r>
      <w:r w:rsidR="5DE6753E" w:rsidRPr="3524BD2A">
        <w:rPr>
          <w:color w:val="333333"/>
        </w:rPr>
        <w:t xml:space="preserve"> </w:t>
      </w:r>
      <w:r w:rsidR="7F51C90B" w:rsidRPr="3524BD2A">
        <w:rPr>
          <w:color w:val="333333"/>
        </w:rPr>
        <w:t>‘</w:t>
      </w:r>
      <w:r w:rsidR="5DE6753E" w:rsidRPr="3524BD2A">
        <w:rPr>
          <w:color w:val="333333"/>
        </w:rPr>
        <w:t>target population</w:t>
      </w:r>
      <w:r w:rsidR="7F51C90B" w:rsidRPr="3524BD2A">
        <w:rPr>
          <w:color w:val="333333"/>
        </w:rPr>
        <w:t>’</w:t>
      </w:r>
      <w:r w:rsidR="5DE6753E" w:rsidRPr="3524BD2A">
        <w:rPr>
          <w:color w:val="333333"/>
        </w:rPr>
        <w:t xml:space="preserve"> is the population about which information is being sought</w:t>
      </w:r>
      <w:r w:rsidR="7F51C90B" w:rsidRPr="3524BD2A">
        <w:rPr>
          <w:color w:val="333333"/>
        </w:rPr>
        <w:t xml:space="preserve">, and a ‘survey population’ </w:t>
      </w:r>
      <w:r w:rsidR="65E2B44C" w:rsidRPr="3524BD2A">
        <w:rPr>
          <w:color w:val="333333"/>
        </w:rPr>
        <w:t xml:space="preserve">is all the </w:t>
      </w:r>
      <w:r w:rsidR="7F51C90B" w:rsidRPr="3524BD2A">
        <w:rPr>
          <w:color w:val="333333"/>
        </w:rPr>
        <w:t>members of the target population who have a chance of being selected for a survey</w:t>
      </w:r>
      <w:r w:rsidR="65E2B44C" w:rsidRPr="3524BD2A">
        <w:rPr>
          <w:color w:val="333333"/>
        </w:rPr>
        <w:t xml:space="preserve">. </w:t>
      </w:r>
      <w:r w:rsidR="7F51C90B" w:rsidRPr="3524BD2A">
        <w:rPr>
          <w:color w:val="333333"/>
        </w:rPr>
        <w:t>So, t</w:t>
      </w:r>
      <w:r w:rsidR="5DE6753E" w:rsidRPr="3524BD2A">
        <w:rPr>
          <w:color w:val="333333"/>
        </w:rPr>
        <w:t>he survey population is the population from which information about the target population can be obtained (via the survey).</w:t>
      </w:r>
    </w:p>
    <w:p w14:paraId="08370165" w14:textId="49C515B5" w:rsidR="00F47315" w:rsidRDefault="5DE6753E" w:rsidP="3524BD2A">
      <w:pPr>
        <w:rPr>
          <w:color w:val="333333"/>
        </w:rPr>
      </w:pPr>
      <w:r w:rsidRPr="3524BD2A">
        <w:rPr>
          <w:color w:val="333333"/>
        </w:rPr>
        <w:t>The survey population needs to very closely resemble the target population because it will be used to produce information that represents the entire target population.</w:t>
      </w:r>
      <w:r w:rsidR="5D3B6FF3" w:rsidRPr="3524BD2A">
        <w:rPr>
          <w:color w:val="333333"/>
        </w:rPr>
        <w:t xml:space="preserve"> </w:t>
      </w:r>
    </w:p>
    <w:p w14:paraId="7C6559AE" w14:textId="26489AC2" w:rsidR="00F000F6" w:rsidRPr="001C3C2C" w:rsidRDefault="00F000F6" w:rsidP="00F000F6">
      <w:pPr>
        <w:rPr>
          <w:color w:val="333333"/>
        </w:rPr>
      </w:pPr>
      <w:r w:rsidRPr="001C3C2C">
        <w:rPr>
          <w:color w:val="333333"/>
        </w:rPr>
        <w:t>The HDS survey population was the same as its target population (the usually resident population of New Zealand, living in permanent private dwellings or residential and community care facilities on the main islands of New Zealand during the 2023 Census) but with some exclusions</w:t>
      </w:r>
      <w:r w:rsidRPr="001C3C2C" w:rsidDel="00951DBB">
        <w:rPr>
          <w:color w:val="333333"/>
        </w:rPr>
        <w:t xml:space="preserve"> made,</w:t>
      </w:r>
      <w:r w:rsidRPr="001C3C2C" w:rsidDel="00F304D1">
        <w:rPr>
          <w:color w:val="333333"/>
        </w:rPr>
        <w:t xml:space="preserve"> </w:t>
      </w:r>
      <w:r w:rsidR="00927701" w:rsidDel="00F304D1">
        <w:rPr>
          <w:color w:val="333333"/>
        </w:rPr>
        <w:t>typically</w:t>
      </w:r>
      <w:r w:rsidRPr="001C3C2C" w:rsidDel="00F304D1">
        <w:rPr>
          <w:color w:val="333333"/>
        </w:rPr>
        <w:t xml:space="preserve"> for cost and practical</w:t>
      </w:r>
      <w:r w:rsidR="00927701" w:rsidDel="00F304D1">
        <w:rPr>
          <w:color w:val="333333"/>
        </w:rPr>
        <w:t xml:space="preserve">ity </w:t>
      </w:r>
      <w:r w:rsidRPr="001C3C2C" w:rsidDel="00F304D1">
        <w:rPr>
          <w:color w:val="333333"/>
        </w:rPr>
        <w:t xml:space="preserve">reasons. </w:t>
      </w:r>
      <w:r w:rsidRPr="001C3C2C">
        <w:rPr>
          <w:color w:val="333333"/>
        </w:rPr>
        <w:t>These exclusions</w:t>
      </w:r>
      <w:r w:rsidR="00F304D1" w:rsidRPr="001C3C2C">
        <w:rPr>
          <w:color w:val="333333"/>
        </w:rPr>
        <w:t xml:space="preserve"> </w:t>
      </w:r>
      <w:r w:rsidRPr="001C3C2C">
        <w:rPr>
          <w:color w:val="333333"/>
        </w:rPr>
        <w:t xml:space="preserve">were a small percentage of the target population, so any bias introduced </w:t>
      </w:r>
      <w:r w:rsidR="003E559C">
        <w:rPr>
          <w:color w:val="333333"/>
        </w:rPr>
        <w:t>wa</w:t>
      </w:r>
      <w:r w:rsidRPr="001C3C2C">
        <w:rPr>
          <w:color w:val="333333"/>
        </w:rPr>
        <w:t>s minimal. The exclusions were:</w:t>
      </w:r>
    </w:p>
    <w:p w14:paraId="572E6364" w14:textId="4A65C8F6" w:rsidR="00F000F6" w:rsidRPr="00DE404B" w:rsidRDefault="00F97A74" w:rsidP="00F000F6">
      <w:pPr>
        <w:pStyle w:val="ListParagraph"/>
        <w:numPr>
          <w:ilvl w:val="0"/>
          <w:numId w:val="17"/>
        </w:numPr>
        <w:spacing w:after="160" w:line="259" w:lineRule="auto"/>
        <w:rPr>
          <w:color w:val="333333"/>
        </w:rPr>
      </w:pPr>
      <w:r>
        <w:rPr>
          <w:color w:val="333333"/>
        </w:rPr>
        <w:t>p</w:t>
      </w:r>
      <w:r w:rsidR="00F000F6" w:rsidRPr="00DE404B">
        <w:rPr>
          <w:color w:val="333333"/>
        </w:rPr>
        <w:t xml:space="preserve">eople living in </w:t>
      </w:r>
      <w:r w:rsidR="00345A0F">
        <w:rPr>
          <w:color w:val="333333"/>
        </w:rPr>
        <w:t>non-permanent</w:t>
      </w:r>
      <w:r w:rsidR="00927701">
        <w:rPr>
          <w:color w:val="333333"/>
        </w:rPr>
        <w:t xml:space="preserve"> private</w:t>
      </w:r>
      <w:r w:rsidR="00F000F6" w:rsidRPr="00DE404B">
        <w:rPr>
          <w:color w:val="333333"/>
        </w:rPr>
        <w:t xml:space="preserve"> dwellings (such as tents or caravans)</w:t>
      </w:r>
    </w:p>
    <w:p w14:paraId="29A7E4D9" w14:textId="483645AE" w:rsidR="00F000F6" w:rsidRPr="00DE404B" w:rsidRDefault="00F97A74" w:rsidP="00F000F6">
      <w:pPr>
        <w:pStyle w:val="ListParagraph"/>
        <w:numPr>
          <w:ilvl w:val="0"/>
          <w:numId w:val="17"/>
        </w:numPr>
        <w:spacing w:after="160" w:line="259" w:lineRule="auto"/>
        <w:rPr>
          <w:color w:val="333333"/>
        </w:rPr>
      </w:pPr>
      <w:r>
        <w:rPr>
          <w:color w:val="333333"/>
        </w:rPr>
        <w:t>p</w:t>
      </w:r>
      <w:r w:rsidR="00F000F6" w:rsidRPr="00DE404B">
        <w:rPr>
          <w:color w:val="333333"/>
        </w:rPr>
        <w:t xml:space="preserve">eople living on islands other than the North, South, and Waiheke </w:t>
      </w:r>
      <w:r w:rsidR="00EE216F">
        <w:rPr>
          <w:color w:val="333333"/>
        </w:rPr>
        <w:t>I</w:t>
      </w:r>
      <w:r w:rsidR="00F000F6" w:rsidRPr="00DE404B">
        <w:rPr>
          <w:color w:val="333333"/>
        </w:rPr>
        <w:t xml:space="preserve">slands (such as Great Barrier, Kawau, Chatham, and Stewart </w:t>
      </w:r>
      <w:r w:rsidR="002E2126">
        <w:rPr>
          <w:color w:val="333333"/>
        </w:rPr>
        <w:t>I</w:t>
      </w:r>
      <w:r w:rsidR="00F000F6" w:rsidRPr="00DE404B">
        <w:rPr>
          <w:color w:val="333333"/>
        </w:rPr>
        <w:t>slands)</w:t>
      </w:r>
    </w:p>
    <w:p w14:paraId="2903136D" w14:textId="23FD04A2" w:rsidR="00F000F6" w:rsidRPr="00DE404B" w:rsidRDefault="00F97A74" w:rsidP="00F000F6">
      <w:pPr>
        <w:pStyle w:val="ListParagraph"/>
        <w:numPr>
          <w:ilvl w:val="0"/>
          <w:numId w:val="17"/>
        </w:numPr>
        <w:spacing w:after="160" w:line="259" w:lineRule="auto"/>
        <w:rPr>
          <w:color w:val="333333"/>
        </w:rPr>
      </w:pPr>
      <w:r>
        <w:rPr>
          <w:color w:val="333333"/>
        </w:rPr>
        <w:t>p</w:t>
      </w:r>
      <w:r w:rsidR="00F000F6" w:rsidRPr="00DE404B">
        <w:rPr>
          <w:color w:val="333333"/>
        </w:rPr>
        <w:t>eople who did not complete the 2023 Census.</w:t>
      </w:r>
    </w:p>
    <w:p w14:paraId="760D1815" w14:textId="1F23C5A9" w:rsidR="00F000F6" w:rsidRPr="001C3C2C" w:rsidRDefault="00F000F6" w:rsidP="00F000F6">
      <w:pPr>
        <w:rPr>
          <w:color w:val="333333"/>
        </w:rPr>
      </w:pPr>
      <w:r w:rsidRPr="001C3C2C">
        <w:rPr>
          <w:color w:val="333333"/>
        </w:rPr>
        <w:t xml:space="preserve">After these exclusions, the HDS survey population was </w:t>
      </w:r>
      <w:r w:rsidR="00584737">
        <w:rPr>
          <w:color w:val="333333"/>
        </w:rPr>
        <w:t>t</w:t>
      </w:r>
      <w:r w:rsidRPr="001C3C2C">
        <w:rPr>
          <w:color w:val="333333"/>
        </w:rPr>
        <w:t xml:space="preserve">he usually resident population of New Zealand who lived in permanent private dwellings or residential and community care facilities on the North, South or Waiheke Islands when the </w:t>
      </w:r>
      <w:r w:rsidR="0033133A">
        <w:rPr>
          <w:color w:val="333333"/>
        </w:rPr>
        <w:t xml:space="preserve">2023 </w:t>
      </w:r>
      <w:r w:rsidRPr="001C3C2C">
        <w:rPr>
          <w:color w:val="333333"/>
        </w:rPr>
        <w:t xml:space="preserve">Census was taken and who completed the </w:t>
      </w:r>
      <w:r w:rsidR="0033133A">
        <w:rPr>
          <w:color w:val="333333"/>
        </w:rPr>
        <w:t>c</w:t>
      </w:r>
      <w:r w:rsidRPr="001C3C2C">
        <w:rPr>
          <w:color w:val="333333"/>
        </w:rPr>
        <w:t xml:space="preserve">ensus. </w:t>
      </w:r>
    </w:p>
    <w:p w14:paraId="4A5F9E3E" w14:textId="6093EC26" w:rsidR="001D3F2F" w:rsidRPr="00F000F6" w:rsidRDefault="00F000F6" w:rsidP="001D3F2F">
      <w:pPr>
        <w:rPr>
          <w:color w:val="333333"/>
        </w:rPr>
      </w:pPr>
      <w:r w:rsidRPr="001C3C2C">
        <w:rPr>
          <w:color w:val="333333"/>
        </w:rPr>
        <w:t xml:space="preserve">A </w:t>
      </w:r>
      <w:r w:rsidR="00F57B87">
        <w:rPr>
          <w:color w:val="333333"/>
        </w:rPr>
        <w:t>‘</w:t>
      </w:r>
      <w:r w:rsidRPr="001C3C2C">
        <w:rPr>
          <w:color w:val="333333"/>
        </w:rPr>
        <w:t>sampling frame</w:t>
      </w:r>
      <w:r w:rsidR="00F57B87">
        <w:rPr>
          <w:color w:val="333333"/>
        </w:rPr>
        <w:t>’</w:t>
      </w:r>
      <w:r w:rsidRPr="001C3C2C">
        <w:rPr>
          <w:color w:val="333333"/>
        </w:rPr>
        <w:t xml:space="preserve"> is simply the list of units within the survey population (</w:t>
      </w:r>
      <w:r w:rsidR="00870F75">
        <w:rPr>
          <w:color w:val="333333"/>
        </w:rPr>
        <w:t xml:space="preserve">‘units’ may </w:t>
      </w:r>
      <w:r w:rsidRPr="001C3C2C">
        <w:rPr>
          <w:color w:val="333333"/>
        </w:rPr>
        <w:t>be individuals, dwellings, business</w:t>
      </w:r>
      <w:r w:rsidR="00FC1109">
        <w:rPr>
          <w:color w:val="333333"/>
        </w:rPr>
        <w:t>es</w:t>
      </w:r>
      <w:r w:rsidRPr="001C3C2C">
        <w:rPr>
          <w:color w:val="333333"/>
        </w:rPr>
        <w:t xml:space="preserve">, </w:t>
      </w:r>
      <w:r w:rsidR="00FC1109">
        <w:rPr>
          <w:color w:val="333333"/>
        </w:rPr>
        <w:t>and so on</w:t>
      </w:r>
      <w:r w:rsidRPr="001C3C2C">
        <w:rPr>
          <w:color w:val="333333"/>
        </w:rPr>
        <w:t>). By being on this list, every</w:t>
      </w:r>
      <w:r w:rsidR="00870F75">
        <w:rPr>
          <w:color w:val="333333"/>
        </w:rPr>
        <w:t xml:space="preserve"> unit </w:t>
      </w:r>
      <w:r w:rsidRPr="001C3C2C">
        <w:rPr>
          <w:color w:val="333333"/>
        </w:rPr>
        <w:t xml:space="preserve">in the sampling frame has a chance of being selected. </w:t>
      </w:r>
    </w:p>
    <w:p w14:paraId="229A6877" w14:textId="651BFD4C" w:rsidR="004A112E" w:rsidRDefault="00F000F6" w:rsidP="00F000F6">
      <w:pPr>
        <w:rPr>
          <w:color w:val="333333"/>
        </w:rPr>
      </w:pPr>
      <w:r w:rsidRPr="001C3C2C">
        <w:rPr>
          <w:color w:val="333333"/>
        </w:rPr>
        <w:t xml:space="preserve">The HDS sampling frame was created by taking </w:t>
      </w:r>
      <w:r w:rsidR="00A162CD">
        <w:rPr>
          <w:color w:val="333333"/>
        </w:rPr>
        <w:t xml:space="preserve">2023 </w:t>
      </w:r>
      <w:r w:rsidRPr="001C3C2C">
        <w:rPr>
          <w:color w:val="333333"/>
        </w:rPr>
        <w:t xml:space="preserve">Census responses for individuals living in the selected 1,805 PSUs and using the HDS eligibility criteria to remove anyone who was not eligible to be </w:t>
      </w:r>
      <w:r w:rsidR="00594993">
        <w:rPr>
          <w:color w:val="333333"/>
        </w:rPr>
        <w:t xml:space="preserve">in </w:t>
      </w:r>
      <w:r w:rsidRPr="001C3C2C">
        <w:rPr>
          <w:color w:val="333333"/>
        </w:rPr>
        <w:t>the survey because they were not members of the survey population (for example, people who were not usual residents, people who did not live in either a private dwelling or a residential an</w:t>
      </w:r>
      <w:r w:rsidR="009A3A40">
        <w:rPr>
          <w:color w:val="333333"/>
        </w:rPr>
        <w:t>d</w:t>
      </w:r>
      <w:r w:rsidRPr="001C3C2C">
        <w:rPr>
          <w:color w:val="333333"/>
        </w:rPr>
        <w:t xml:space="preserve"> community care facility, people living in </w:t>
      </w:r>
      <w:r w:rsidR="006B6ECF">
        <w:rPr>
          <w:color w:val="333333"/>
        </w:rPr>
        <w:t>non-permanent private</w:t>
      </w:r>
      <w:r w:rsidRPr="001C3C2C">
        <w:rPr>
          <w:color w:val="333333"/>
        </w:rPr>
        <w:t xml:space="preserve"> dwellings, people living on islands other than the North, South</w:t>
      </w:r>
      <w:r w:rsidR="009A3A40">
        <w:rPr>
          <w:color w:val="333333"/>
        </w:rPr>
        <w:t>,</w:t>
      </w:r>
      <w:r w:rsidRPr="001C3C2C">
        <w:rPr>
          <w:color w:val="333333"/>
        </w:rPr>
        <w:t xml:space="preserve"> and Waiheke </w:t>
      </w:r>
      <w:r w:rsidR="009408CB">
        <w:rPr>
          <w:color w:val="333333"/>
        </w:rPr>
        <w:t>I</w:t>
      </w:r>
      <w:r w:rsidRPr="001C3C2C">
        <w:rPr>
          <w:color w:val="333333"/>
        </w:rPr>
        <w:t xml:space="preserve">slands). </w:t>
      </w:r>
    </w:p>
    <w:p w14:paraId="6F61D583" w14:textId="3823E3BB" w:rsidR="00F000F6" w:rsidRPr="001C3C2C" w:rsidRDefault="004A112E" w:rsidP="00F000F6">
      <w:pPr>
        <w:rPr>
          <w:color w:val="333333"/>
        </w:rPr>
      </w:pPr>
      <w:r>
        <w:rPr>
          <w:color w:val="333333"/>
        </w:rPr>
        <w:t>T</w:t>
      </w:r>
      <w:r w:rsidR="00233542" w:rsidRPr="001C3C2C">
        <w:rPr>
          <w:color w:val="333333"/>
        </w:rPr>
        <w:t xml:space="preserve">he HDS sample was </w:t>
      </w:r>
      <w:r w:rsidR="00EE6831">
        <w:rPr>
          <w:color w:val="333333"/>
        </w:rPr>
        <w:t xml:space="preserve">then </w:t>
      </w:r>
      <w:r w:rsidR="00233542" w:rsidRPr="001C3C2C">
        <w:rPr>
          <w:color w:val="333333"/>
        </w:rPr>
        <w:t>selected</w:t>
      </w:r>
      <w:r w:rsidR="00F000F6" w:rsidRPr="001C3C2C" w:rsidDel="00A614F5">
        <w:rPr>
          <w:color w:val="333333"/>
        </w:rPr>
        <w:t xml:space="preserve"> from the sampling frame</w:t>
      </w:r>
      <w:r>
        <w:rPr>
          <w:color w:val="333333"/>
        </w:rPr>
        <w:t>.</w:t>
      </w:r>
    </w:p>
    <w:p w14:paraId="1FAA975F" w14:textId="6CBBEB2D" w:rsidR="00BA69EC" w:rsidRDefault="00BA69EC" w:rsidP="00BA69EC">
      <w:pPr>
        <w:pStyle w:val="Heading3"/>
      </w:pPr>
      <w:bookmarkStart w:id="196" w:name="_7.5.2_Selecting_from"/>
      <w:bookmarkStart w:id="197" w:name="_Toc187762901"/>
      <w:bookmarkStart w:id="198" w:name="_Toc187763862"/>
      <w:bookmarkStart w:id="199" w:name="_Toc190856865"/>
      <w:bookmarkEnd w:id="196"/>
      <w:r>
        <w:t>7.5.2 Selecting from strata</w:t>
      </w:r>
      <w:bookmarkEnd w:id="197"/>
      <w:bookmarkEnd w:id="198"/>
      <w:bookmarkEnd w:id="199"/>
    </w:p>
    <w:p w14:paraId="58A3B7FA" w14:textId="77777777" w:rsidR="009C64B2" w:rsidRDefault="005E1194" w:rsidP="005E1194">
      <w:pPr>
        <w:rPr>
          <w:color w:val="333333"/>
        </w:rPr>
      </w:pPr>
      <w:r w:rsidRPr="001C3C2C">
        <w:rPr>
          <w:color w:val="333333"/>
        </w:rPr>
        <w:t>With the sampling frame created, all individuals included in the frame were</w:t>
      </w:r>
      <w:r w:rsidR="00080DE9">
        <w:rPr>
          <w:color w:val="333333"/>
        </w:rPr>
        <w:t xml:space="preserve"> then</w:t>
      </w:r>
      <w:r w:rsidRPr="001C3C2C">
        <w:rPr>
          <w:color w:val="333333"/>
        </w:rPr>
        <w:t xml:space="preserve"> placed into strata. Strata are groups that a population is divided into, based on certain shared characteristics. </w:t>
      </w:r>
    </w:p>
    <w:p w14:paraId="08D7CE5C" w14:textId="5F7E7AFC" w:rsidR="005E1194" w:rsidRPr="001C3C2C" w:rsidRDefault="681F65C1" w:rsidP="3524BD2A">
      <w:pPr>
        <w:rPr>
          <w:color w:val="333333"/>
        </w:rPr>
      </w:pPr>
      <w:r w:rsidRPr="3524BD2A">
        <w:rPr>
          <w:color w:val="333333"/>
        </w:rPr>
        <w:t xml:space="preserve">Everyone in the HDS sampling frame was placed into exactly one stratum based on their age, ethnicity, and whether they were more likely than others to be disabled (as determined by their </w:t>
      </w:r>
      <w:r w:rsidR="306FCCE7" w:rsidRPr="3524BD2A">
        <w:rPr>
          <w:color w:val="333333"/>
        </w:rPr>
        <w:t xml:space="preserve">2023 </w:t>
      </w:r>
      <w:r w:rsidRPr="3524BD2A">
        <w:rPr>
          <w:color w:val="333333"/>
        </w:rPr>
        <w:t>Census responses).</w:t>
      </w:r>
      <w:r w:rsidR="7B5FA30C" w:rsidRPr="3524BD2A">
        <w:rPr>
          <w:color w:val="333333"/>
        </w:rPr>
        <w:t xml:space="preserve"> A set number of individuals were then selected from within each stratum.</w:t>
      </w:r>
    </w:p>
    <w:p w14:paraId="5A144FE6" w14:textId="0B5D21EB" w:rsidR="005E1194" w:rsidRPr="001C3C2C" w:rsidRDefault="356B7302" w:rsidP="3524BD2A">
      <w:pPr>
        <w:rPr>
          <w:color w:val="333333"/>
        </w:rPr>
      </w:pPr>
      <w:bookmarkStart w:id="200" w:name="_Hlk174630604"/>
      <w:r w:rsidRPr="3524BD2A">
        <w:rPr>
          <w:color w:val="333333"/>
        </w:rPr>
        <w:t xml:space="preserve">When a survey </w:t>
      </w:r>
      <w:r w:rsidR="103CA829" w:rsidRPr="3524BD2A">
        <w:rPr>
          <w:color w:val="333333"/>
        </w:rPr>
        <w:t>selects</w:t>
      </w:r>
      <w:r w:rsidR="52650A50" w:rsidRPr="3524BD2A">
        <w:rPr>
          <w:color w:val="333333"/>
        </w:rPr>
        <w:t xml:space="preserve"> individuals from within strata, it is called ‘stratified sampling’. </w:t>
      </w:r>
      <w:r w:rsidR="5AF3702E" w:rsidRPr="3524BD2A">
        <w:rPr>
          <w:color w:val="333333"/>
        </w:rPr>
        <w:t>Reasons for using s</w:t>
      </w:r>
      <w:r w:rsidR="681F65C1" w:rsidRPr="3524BD2A">
        <w:rPr>
          <w:color w:val="333333"/>
        </w:rPr>
        <w:t>tratified sampling includ</w:t>
      </w:r>
      <w:r w:rsidR="5AF3702E" w:rsidRPr="3524BD2A">
        <w:rPr>
          <w:color w:val="333333"/>
        </w:rPr>
        <w:t>e</w:t>
      </w:r>
      <w:r w:rsidR="681F65C1" w:rsidRPr="3524BD2A">
        <w:rPr>
          <w:color w:val="333333"/>
        </w:rPr>
        <w:t xml:space="preserve">: </w:t>
      </w:r>
    </w:p>
    <w:p w14:paraId="584A1866" w14:textId="3D817543" w:rsidR="005E1194" w:rsidRPr="005D129B" w:rsidRDefault="008010CE" w:rsidP="005E1194">
      <w:pPr>
        <w:pStyle w:val="ListParagraph"/>
        <w:numPr>
          <w:ilvl w:val="0"/>
          <w:numId w:val="19"/>
        </w:numPr>
        <w:spacing w:after="160" w:line="259" w:lineRule="auto"/>
        <w:rPr>
          <w:color w:val="333333"/>
        </w:rPr>
      </w:pPr>
      <w:r>
        <w:rPr>
          <w:color w:val="333333"/>
        </w:rPr>
        <w:t>i</w:t>
      </w:r>
      <w:r w:rsidR="005E1194" w:rsidRPr="005D129B">
        <w:rPr>
          <w:color w:val="333333"/>
        </w:rPr>
        <w:t xml:space="preserve">ncreasing the efficiency of a sample design </w:t>
      </w:r>
      <w:r w:rsidR="001E32BA">
        <w:rPr>
          <w:color w:val="333333"/>
        </w:rPr>
        <w:t xml:space="preserve">through </w:t>
      </w:r>
      <w:r w:rsidR="00AE1A86">
        <w:rPr>
          <w:color w:val="333333"/>
        </w:rPr>
        <w:t>lowered</w:t>
      </w:r>
      <w:r w:rsidR="005E1194" w:rsidRPr="005D129B">
        <w:rPr>
          <w:color w:val="333333"/>
        </w:rPr>
        <w:t xml:space="preserve"> costs and </w:t>
      </w:r>
      <w:r w:rsidR="002D5029">
        <w:rPr>
          <w:color w:val="333333"/>
        </w:rPr>
        <w:t xml:space="preserve">improved </w:t>
      </w:r>
      <w:r w:rsidR="005E1194" w:rsidRPr="005D129B">
        <w:rPr>
          <w:color w:val="333333"/>
        </w:rPr>
        <w:t xml:space="preserve">estimator precision </w:t>
      </w:r>
    </w:p>
    <w:p w14:paraId="2D96E5D6" w14:textId="77777777" w:rsidR="005E1194" w:rsidRPr="005D129B" w:rsidRDefault="005E1194" w:rsidP="005E1194">
      <w:pPr>
        <w:pStyle w:val="ListParagraph"/>
        <w:numPr>
          <w:ilvl w:val="0"/>
          <w:numId w:val="19"/>
        </w:numPr>
        <w:spacing w:after="160" w:line="259" w:lineRule="auto"/>
        <w:rPr>
          <w:color w:val="333333"/>
        </w:rPr>
      </w:pPr>
      <w:r w:rsidRPr="005D129B">
        <w:rPr>
          <w:color w:val="333333"/>
        </w:rPr>
        <w:t>ensuring that all relevant subgroups within a population are adequately represented in the sample</w:t>
      </w:r>
    </w:p>
    <w:p w14:paraId="10FC01FC" w14:textId="77777777" w:rsidR="005E1194" w:rsidRPr="005D129B" w:rsidRDefault="005E1194" w:rsidP="005E1194">
      <w:pPr>
        <w:pStyle w:val="ListParagraph"/>
        <w:numPr>
          <w:ilvl w:val="0"/>
          <w:numId w:val="19"/>
        </w:numPr>
        <w:spacing w:after="160" w:line="259" w:lineRule="auto"/>
        <w:rPr>
          <w:color w:val="333333"/>
        </w:rPr>
      </w:pPr>
      <w:r w:rsidRPr="005D129B">
        <w:rPr>
          <w:color w:val="333333"/>
        </w:rPr>
        <w:t>targeting subgroups by disproportionate sampling (or over-sampling) certain strata.</w:t>
      </w:r>
    </w:p>
    <w:bookmarkEnd w:id="200"/>
    <w:p w14:paraId="2EE4DFB6" w14:textId="1EB4AB5A" w:rsidR="005E1194" w:rsidRPr="001C3C2C" w:rsidRDefault="0019519A" w:rsidP="005E1194">
      <w:pPr>
        <w:rPr>
          <w:color w:val="333333"/>
        </w:rPr>
      </w:pPr>
      <w:r>
        <w:rPr>
          <w:color w:val="333333"/>
        </w:rPr>
        <w:t>To ensure a</w:t>
      </w:r>
      <w:r w:rsidR="000A58A5">
        <w:rPr>
          <w:color w:val="333333"/>
        </w:rPr>
        <w:t>dequate representation of children, Māori, and disabled people in the HDS, t</w:t>
      </w:r>
      <w:r w:rsidR="005E1194" w:rsidRPr="001C3C2C">
        <w:rPr>
          <w:color w:val="333333"/>
        </w:rPr>
        <w:t>he subgroups used for stratification were age group, Māori</w:t>
      </w:r>
      <w:r w:rsidR="000A58A5">
        <w:rPr>
          <w:color w:val="333333"/>
        </w:rPr>
        <w:t>,</w:t>
      </w:r>
      <w:r w:rsidR="005E1194" w:rsidRPr="001C3C2C">
        <w:rPr>
          <w:color w:val="333333"/>
        </w:rPr>
        <w:t xml:space="preserve"> and likelihood of disability (from </w:t>
      </w:r>
      <w:r w:rsidR="00706CE5">
        <w:rPr>
          <w:color w:val="333333"/>
        </w:rPr>
        <w:t xml:space="preserve">2023 </w:t>
      </w:r>
      <w:r w:rsidR="005E1194" w:rsidRPr="001C3C2C">
        <w:rPr>
          <w:color w:val="333333"/>
        </w:rPr>
        <w:t>Census).</w:t>
      </w:r>
      <w:r w:rsidR="00A02E1C">
        <w:rPr>
          <w:color w:val="333333"/>
        </w:rPr>
        <w:t xml:space="preserve"> </w:t>
      </w:r>
      <w:r w:rsidR="005E1194" w:rsidRPr="001C3C2C">
        <w:rPr>
          <w:color w:val="333333"/>
        </w:rPr>
        <w:t>The strata were</w:t>
      </w:r>
      <w:r w:rsidR="00BE467D">
        <w:rPr>
          <w:rStyle w:val="FootnoteReference"/>
          <w:color w:val="333333"/>
        </w:rPr>
        <w:footnoteReference w:id="8"/>
      </w:r>
      <w:r w:rsidR="005E1194" w:rsidRPr="001C3C2C">
        <w:rPr>
          <w:color w:val="333333"/>
        </w:rPr>
        <w:t xml:space="preserve">: </w:t>
      </w:r>
    </w:p>
    <w:p w14:paraId="1D6727AE" w14:textId="5B152A82"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0</w:t>
      </w:r>
      <w:r w:rsidR="00E54090">
        <w:rPr>
          <w:color w:val="333333"/>
        </w:rPr>
        <w:t xml:space="preserve"> to </w:t>
      </w:r>
      <w:r w:rsidRPr="005528B6">
        <w:rPr>
          <w:color w:val="333333"/>
        </w:rPr>
        <w:t>14 years who were more likely to be disabled</w:t>
      </w:r>
    </w:p>
    <w:p w14:paraId="1969FA88" w14:textId="76DB1560"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15</w:t>
      </w:r>
      <w:r w:rsidR="00E54090">
        <w:rPr>
          <w:color w:val="333333"/>
        </w:rPr>
        <w:t xml:space="preserve"> to </w:t>
      </w:r>
      <w:r w:rsidRPr="005528B6">
        <w:rPr>
          <w:color w:val="333333"/>
        </w:rPr>
        <w:t>44 years who were more likely to be disabled</w:t>
      </w:r>
    </w:p>
    <w:p w14:paraId="11BCEF5A" w14:textId="22676396"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45</w:t>
      </w:r>
      <w:r w:rsidR="00712146">
        <w:rPr>
          <w:color w:val="333333"/>
        </w:rPr>
        <w:t xml:space="preserve"> to </w:t>
      </w:r>
      <w:r w:rsidRPr="005528B6">
        <w:rPr>
          <w:color w:val="333333"/>
        </w:rPr>
        <w:t>64 years who were more likely to be disabled</w:t>
      </w:r>
    </w:p>
    <w:p w14:paraId="18370F2A" w14:textId="77777777"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65+ years who were more likely to be disabled</w:t>
      </w:r>
    </w:p>
    <w:p w14:paraId="134D6BF8" w14:textId="3DC17C2E" w:rsidR="005E1194" w:rsidRPr="005528B6" w:rsidRDefault="005E1194" w:rsidP="005E1194">
      <w:pPr>
        <w:pStyle w:val="ListParagraph"/>
        <w:numPr>
          <w:ilvl w:val="0"/>
          <w:numId w:val="18"/>
        </w:numPr>
        <w:spacing w:after="160" w:line="259" w:lineRule="auto"/>
        <w:rPr>
          <w:color w:val="333333"/>
        </w:rPr>
      </w:pPr>
      <w:r w:rsidRPr="005528B6">
        <w:rPr>
          <w:color w:val="333333"/>
        </w:rPr>
        <w:t>Māori aged 0</w:t>
      </w:r>
      <w:r w:rsidR="00712146">
        <w:rPr>
          <w:color w:val="333333"/>
        </w:rPr>
        <w:t xml:space="preserve"> to </w:t>
      </w:r>
      <w:r w:rsidRPr="005528B6">
        <w:rPr>
          <w:color w:val="333333"/>
        </w:rPr>
        <w:t>14 years who were more likely to be disabled</w:t>
      </w:r>
    </w:p>
    <w:p w14:paraId="1C33B4EE" w14:textId="356D0365" w:rsidR="005E1194" w:rsidRPr="005528B6" w:rsidRDefault="005E1194" w:rsidP="005E1194">
      <w:pPr>
        <w:pStyle w:val="ListParagraph"/>
        <w:numPr>
          <w:ilvl w:val="0"/>
          <w:numId w:val="18"/>
        </w:numPr>
        <w:spacing w:after="160" w:line="259" w:lineRule="auto"/>
        <w:rPr>
          <w:color w:val="333333"/>
        </w:rPr>
      </w:pPr>
      <w:r w:rsidRPr="005528B6">
        <w:rPr>
          <w:color w:val="333333"/>
        </w:rPr>
        <w:t>Māori aged 15</w:t>
      </w:r>
      <w:r w:rsidR="00712146">
        <w:rPr>
          <w:color w:val="333333"/>
        </w:rPr>
        <w:t xml:space="preserve"> to </w:t>
      </w:r>
      <w:r w:rsidRPr="005528B6">
        <w:rPr>
          <w:color w:val="333333"/>
        </w:rPr>
        <w:t>44 years who were more likely to be disabled</w:t>
      </w:r>
    </w:p>
    <w:p w14:paraId="06B0CBE8" w14:textId="77777777" w:rsidR="005E1194" w:rsidRPr="005528B6" w:rsidRDefault="005E1194" w:rsidP="005E1194">
      <w:pPr>
        <w:pStyle w:val="ListParagraph"/>
        <w:numPr>
          <w:ilvl w:val="0"/>
          <w:numId w:val="18"/>
        </w:numPr>
        <w:spacing w:after="160" w:line="259" w:lineRule="auto"/>
        <w:rPr>
          <w:color w:val="333333"/>
        </w:rPr>
      </w:pPr>
      <w:r w:rsidRPr="005528B6">
        <w:rPr>
          <w:color w:val="333333"/>
        </w:rPr>
        <w:t>Māori aged 45+ years who were more likely to be disabled</w:t>
      </w:r>
    </w:p>
    <w:p w14:paraId="478B34A9" w14:textId="45C0906F"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0</w:t>
      </w:r>
      <w:r w:rsidR="00712146">
        <w:rPr>
          <w:color w:val="333333"/>
        </w:rPr>
        <w:t xml:space="preserve"> to </w:t>
      </w:r>
      <w:r w:rsidRPr="005528B6">
        <w:rPr>
          <w:color w:val="333333"/>
        </w:rPr>
        <w:t>14 years who were not more likely to be disabled</w:t>
      </w:r>
    </w:p>
    <w:p w14:paraId="427005C5" w14:textId="7C92076E"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15</w:t>
      </w:r>
      <w:r w:rsidR="00712146">
        <w:rPr>
          <w:color w:val="333333"/>
        </w:rPr>
        <w:t xml:space="preserve"> to </w:t>
      </w:r>
      <w:r w:rsidRPr="005528B6">
        <w:rPr>
          <w:color w:val="333333"/>
        </w:rPr>
        <w:t>44 years who were not more likely to be disabled</w:t>
      </w:r>
    </w:p>
    <w:p w14:paraId="5E9A3041" w14:textId="6BC84090"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45</w:t>
      </w:r>
      <w:r w:rsidR="00712146">
        <w:rPr>
          <w:color w:val="333333"/>
        </w:rPr>
        <w:t xml:space="preserve"> to </w:t>
      </w:r>
      <w:r w:rsidRPr="005528B6">
        <w:rPr>
          <w:color w:val="333333"/>
        </w:rPr>
        <w:t>64 years who were not more likely to be disabled</w:t>
      </w:r>
    </w:p>
    <w:p w14:paraId="5C3A17B6" w14:textId="77777777" w:rsidR="005E1194" w:rsidRPr="005528B6" w:rsidRDefault="005E1194" w:rsidP="005E1194">
      <w:pPr>
        <w:pStyle w:val="ListParagraph"/>
        <w:numPr>
          <w:ilvl w:val="0"/>
          <w:numId w:val="18"/>
        </w:numPr>
        <w:spacing w:after="160" w:line="259" w:lineRule="auto"/>
        <w:rPr>
          <w:color w:val="333333"/>
        </w:rPr>
      </w:pPr>
      <w:r w:rsidRPr="005528B6">
        <w:rPr>
          <w:color w:val="333333"/>
        </w:rPr>
        <w:t>Non-Māori aged 65+ years who were not more likely to be disabled</w:t>
      </w:r>
    </w:p>
    <w:p w14:paraId="3BAC82C0" w14:textId="70D22209" w:rsidR="005E1194" w:rsidRPr="005528B6" w:rsidRDefault="005E1194" w:rsidP="005E1194">
      <w:pPr>
        <w:pStyle w:val="ListParagraph"/>
        <w:numPr>
          <w:ilvl w:val="0"/>
          <w:numId w:val="18"/>
        </w:numPr>
        <w:spacing w:after="160" w:line="259" w:lineRule="auto"/>
        <w:rPr>
          <w:color w:val="333333"/>
        </w:rPr>
      </w:pPr>
      <w:r w:rsidRPr="005528B6">
        <w:rPr>
          <w:color w:val="333333"/>
        </w:rPr>
        <w:t>Māori aged 0</w:t>
      </w:r>
      <w:r w:rsidR="00712146">
        <w:rPr>
          <w:color w:val="333333"/>
        </w:rPr>
        <w:t xml:space="preserve"> to </w:t>
      </w:r>
      <w:r w:rsidRPr="005528B6">
        <w:rPr>
          <w:color w:val="333333"/>
        </w:rPr>
        <w:t>14 years who were not more likely to be disabled</w:t>
      </w:r>
    </w:p>
    <w:p w14:paraId="6420CD39" w14:textId="1BAA71D1" w:rsidR="005E1194" w:rsidRPr="005528B6" w:rsidRDefault="005E1194" w:rsidP="005E1194">
      <w:pPr>
        <w:pStyle w:val="ListParagraph"/>
        <w:numPr>
          <w:ilvl w:val="0"/>
          <w:numId w:val="18"/>
        </w:numPr>
        <w:spacing w:after="160" w:line="259" w:lineRule="auto"/>
        <w:rPr>
          <w:color w:val="333333"/>
        </w:rPr>
      </w:pPr>
      <w:r w:rsidRPr="005528B6">
        <w:rPr>
          <w:color w:val="333333"/>
        </w:rPr>
        <w:t>Māori aged 15</w:t>
      </w:r>
      <w:r w:rsidR="00712146">
        <w:rPr>
          <w:color w:val="333333"/>
        </w:rPr>
        <w:t xml:space="preserve"> to </w:t>
      </w:r>
      <w:r w:rsidRPr="005528B6">
        <w:rPr>
          <w:color w:val="333333"/>
        </w:rPr>
        <w:t>44 years who were not more likely to be disabled</w:t>
      </w:r>
    </w:p>
    <w:p w14:paraId="596DFCDD" w14:textId="77777777" w:rsidR="005E1194" w:rsidRPr="005528B6" w:rsidRDefault="005E1194" w:rsidP="005E1194">
      <w:pPr>
        <w:pStyle w:val="ListParagraph"/>
        <w:numPr>
          <w:ilvl w:val="0"/>
          <w:numId w:val="18"/>
        </w:numPr>
        <w:spacing w:after="160" w:line="259" w:lineRule="auto"/>
        <w:rPr>
          <w:color w:val="333333"/>
        </w:rPr>
      </w:pPr>
      <w:r w:rsidRPr="005528B6">
        <w:rPr>
          <w:color w:val="333333"/>
        </w:rPr>
        <w:t>Māori aged 45+ years who were not more likely to be disabled</w:t>
      </w:r>
    </w:p>
    <w:p w14:paraId="6B8A9F78" w14:textId="330F7FEE" w:rsidR="005E1194" w:rsidRPr="001C3C2C" w:rsidRDefault="681F65C1" w:rsidP="3524BD2A">
      <w:pPr>
        <w:rPr>
          <w:color w:val="333333"/>
        </w:rPr>
      </w:pPr>
      <w:r w:rsidRPr="3524BD2A">
        <w:rPr>
          <w:color w:val="333333"/>
        </w:rPr>
        <w:t>People were selected from each strata using systematic random sampling. The number of people selected from each of the 14 strata was determined by the need to oversample some people</w:t>
      </w:r>
      <w:r w:rsidR="5CB16E96" w:rsidRPr="3524BD2A">
        <w:rPr>
          <w:color w:val="333333"/>
        </w:rPr>
        <w:t xml:space="preserve"> </w:t>
      </w:r>
      <w:r w:rsidR="2D77E18D" w:rsidRPr="3524BD2A">
        <w:rPr>
          <w:color w:val="333333"/>
        </w:rPr>
        <w:t>(</w:t>
      </w:r>
      <w:r w:rsidR="5CB16E96" w:rsidRPr="3524BD2A">
        <w:rPr>
          <w:color w:val="333333"/>
        </w:rPr>
        <w:t xml:space="preserve">children, </w:t>
      </w:r>
      <w:r w:rsidR="547FB560" w:rsidRPr="3524BD2A">
        <w:rPr>
          <w:color w:val="333333"/>
        </w:rPr>
        <w:t>Māori,</w:t>
      </w:r>
      <w:r w:rsidR="1F569A36" w:rsidRPr="3524BD2A">
        <w:rPr>
          <w:color w:val="333333"/>
        </w:rPr>
        <w:t xml:space="preserve"> and</w:t>
      </w:r>
      <w:r w:rsidRPr="3524BD2A">
        <w:rPr>
          <w:color w:val="333333"/>
        </w:rPr>
        <w:t xml:space="preserve"> people more likely to be disabled</w:t>
      </w:r>
      <w:r w:rsidR="2D77E18D" w:rsidRPr="3524BD2A">
        <w:rPr>
          <w:color w:val="333333"/>
        </w:rPr>
        <w:t>)</w:t>
      </w:r>
      <w:r w:rsidRPr="3524BD2A">
        <w:rPr>
          <w:color w:val="333333"/>
        </w:rPr>
        <w:t xml:space="preserve">. </w:t>
      </w:r>
    </w:p>
    <w:p w14:paraId="28D38A16" w14:textId="6FFD6D91" w:rsidR="00060FC4" w:rsidRDefault="681F65C1" w:rsidP="3524BD2A">
      <w:pPr>
        <w:rPr>
          <w:color w:val="333333"/>
        </w:rPr>
      </w:pPr>
      <w:r w:rsidRPr="3524BD2A">
        <w:rPr>
          <w:color w:val="333333"/>
        </w:rPr>
        <w:t xml:space="preserve">In total, 25,000 people were selected for the HDS. Five </w:t>
      </w:r>
      <w:r w:rsidR="59591908" w:rsidRPr="3524BD2A">
        <w:rPr>
          <w:color w:val="333333"/>
        </w:rPr>
        <w:t>were</w:t>
      </w:r>
      <w:r w:rsidRPr="3524BD2A">
        <w:rPr>
          <w:color w:val="333333"/>
        </w:rPr>
        <w:t xml:space="preserve"> immediately discarded because </w:t>
      </w:r>
      <w:r w:rsidR="79F52C88" w:rsidRPr="3524BD2A">
        <w:rPr>
          <w:color w:val="333333"/>
        </w:rPr>
        <w:t xml:space="preserve">they provided </w:t>
      </w:r>
      <w:r w:rsidRPr="3524BD2A">
        <w:rPr>
          <w:color w:val="333333"/>
        </w:rPr>
        <w:t xml:space="preserve">insufficient name information in the </w:t>
      </w:r>
      <w:r w:rsidR="0F319927" w:rsidRPr="3524BD2A">
        <w:rPr>
          <w:color w:val="333333"/>
        </w:rPr>
        <w:t xml:space="preserve">2023 </w:t>
      </w:r>
      <w:r w:rsidRPr="3524BD2A">
        <w:rPr>
          <w:color w:val="333333"/>
        </w:rPr>
        <w:t xml:space="preserve">Census. </w:t>
      </w:r>
    </w:p>
    <w:p w14:paraId="76A3806B" w14:textId="4011B8EB" w:rsidR="007E2F26" w:rsidRDefault="16728B05" w:rsidP="3524BD2A">
      <w:pPr>
        <w:rPr>
          <w:color w:val="333333"/>
        </w:rPr>
      </w:pPr>
      <w:r w:rsidRPr="3524BD2A">
        <w:rPr>
          <w:color w:val="333333"/>
        </w:rPr>
        <w:t>Because people were selected to be in the survey using age strata, people who had not given their age on their Census form and had not had their age found through admin data at the time of the sample selection,</w:t>
      </w:r>
      <w:r w:rsidR="1BA741DC" w:rsidRPr="3524BD2A">
        <w:rPr>
          <w:color w:val="333333"/>
        </w:rPr>
        <w:t xml:space="preserve"> were unable to be selected because they were excluded from all strata</w:t>
      </w:r>
      <w:r w:rsidRPr="3524BD2A">
        <w:rPr>
          <w:color w:val="333333"/>
        </w:rPr>
        <w:t xml:space="preserve">. People missing either ethnic information and/or disability information from Census were not excluded but were assumed to be non-Māori and/or less likely to be disabled for the purposes of placing them into strata.  </w:t>
      </w:r>
    </w:p>
    <w:p w14:paraId="3DD6201D" w14:textId="2E02C203" w:rsidR="000C5A25" w:rsidRPr="005E1194" w:rsidRDefault="002E6E85" w:rsidP="005E1194">
      <w:pPr>
        <w:rPr>
          <w:color w:val="333333"/>
        </w:rPr>
      </w:pPr>
      <w:r>
        <w:rPr>
          <w:color w:val="333333"/>
        </w:rPr>
        <w:t>N</w:t>
      </w:r>
      <w:r w:rsidR="000C5A25" w:rsidRPr="001C3C2C">
        <w:rPr>
          <w:color w:val="333333"/>
        </w:rPr>
        <w:t>o limit</w:t>
      </w:r>
      <w:r>
        <w:rPr>
          <w:color w:val="333333"/>
        </w:rPr>
        <w:t xml:space="preserve"> was</w:t>
      </w:r>
      <w:r w:rsidR="000C5A25" w:rsidRPr="001C3C2C">
        <w:rPr>
          <w:color w:val="333333"/>
        </w:rPr>
        <w:t xml:space="preserve"> </w:t>
      </w:r>
      <w:r w:rsidR="000C5A25">
        <w:rPr>
          <w:color w:val="333333"/>
        </w:rPr>
        <w:t xml:space="preserve">set </w:t>
      </w:r>
      <w:r w:rsidR="000C5A25" w:rsidRPr="001C3C2C">
        <w:rPr>
          <w:color w:val="333333"/>
        </w:rPr>
        <w:t>on how many people from a particular dwelling could be selected for the HDS</w:t>
      </w:r>
      <w:r w:rsidR="000C5A25">
        <w:rPr>
          <w:color w:val="333333"/>
        </w:rPr>
        <w:t>.</w:t>
      </w:r>
    </w:p>
    <w:p w14:paraId="52899F8B" w14:textId="50EB57A0" w:rsidR="00BA69EC" w:rsidRDefault="00BA69EC" w:rsidP="00BA69EC">
      <w:pPr>
        <w:pStyle w:val="Heading3"/>
      </w:pPr>
      <w:bookmarkStart w:id="201" w:name="_Toc187762902"/>
      <w:bookmarkStart w:id="202" w:name="_Toc187763863"/>
      <w:bookmarkStart w:id="203" w:name="_Toc190856866"/>
      <w:r>
        <w:t>7.5.3 Sample weighting</w:t>
      </w:r>
      <w:bookmarkEnd w:id="201"/>
      <w:bookmarkEnd w:id="202"/>
      <w:bookmarkEnd w:id="203"/>
    </w:p>
    <w:p w14:paraId="6A885C4E" w14:textId="77777777" w:rsidR="00AE0E32" w:rsidRPr="001C3C2C" w:rsidRDefault="00AE0E32" w:rsidP="00AE0E32">
      <w:pPr>
        <w:rPr>
          <w:color w:val="333333"/>
        </w:rPr>
      </w:pPr>
      <w:r w:rsidRPr="001C3C2C">
        <w:rPr>
          <w:color w:val="333333"/>
        </w:rPr>
        <w:t xml:space="preserve">Of the 25,000 people selected for the 2023 HDS, 21,636 successfully completed the survey. </w:t>
      </w:r>
      <w:r>
        <w:rPr>
          <w:color w:val="333333"/>
        </w:rPr>
        <w:t xml:space="preserve">Making 21,636 the number of valid </w:t>
      </w:r>
      <w:r w:rsidRPr="001C3C2C">
        <w:rPr>
          <w:color w:val="333333"/>
        </w:rPr>
        <w:t xml:space="preserve">respondents. </w:t>
      </w:r>
    </w:p>
    <w:p w14:paraId="0C4A163F" w14:textId="3644EA65" w:rsidR="00AE0E32" w:rsidRPr="001C3C2C" w:rsidRDefault="5CAD21DC" w:rsidP="3524BD2A">
      <w:pPr>
        <w:rPr>
          <w:color w:val="333333"/>
        </w:rPr>
      </w:pPr>
      <w:r w:rsidRPr="3524BD2A">
        <w:rPr>
          <w:color w:val="333333"/>
        </w:rPr>
        <w:t>The HDS aimed to represent the target population and not just the group who responded.</w:t>
      </w:r>
      <w:r w:rsidR="5D3B6FF3" w:rsidRPr="3524BD2A">
        <w:rPr>
          <w:color w:val="333333"/>
        </w:rPr>
        <w:t xml:space="preserve"> </w:t>
      </w:r>
      <w:r w:rsidRPr="3524BD2A">
        <w:rPr>
          <w:color w:val="333333"/>
        </w:rPr>
        <w:t xml:space="preserve">To do this each </w:t>
      </w:r>
      <w:r w:rsidR="43B1525B" w:rsidRPr="3524BD2A">
        <w:rPr>
          <w:color w:val="333333"/>
        </w:rPr>
        <w:t xml:space="preserve">valid </w:t>
      </w:r>
      <w:r w:rsidRPr="3524BD2A">
        <w:rPr>
          <w:color w:val="333333"/>
        </w:rPr>
        <w:t xml:space="preserve">respondent </w:t>
      </w:r>
      <w:r w:rsidR="0E766D6B" w:rsidRPr="3524BD2A">
        <w:rPr>
          <w:color w:val="333333"/>
        </w:rPr>
        <w:t>wa</w:t>
      </w:r>
      <w:r w:rsidRPr="3524BD2A">
        <w:rPr>
          <w:color w:val="333333"/>
        </w:rPr>
        <w:t>s assigned a ‘weight’ to denote how many people in the target population a single respondent represent</w:t>
      </w:r>
      <w:r w:rsidR="10FCB3B8" w:rsidRPr="3524BD2A">
        <w:rPr>
          <w:color w:val="333333"/>
        </w:rPr>
        <w:t>ed</w:t>
      </w:r>
      <w:r w:rsidRPr="3524BD2A">
        <w:rPr>
          <w:color w:val="333333"/>
        </w:rPr>
        <w:t>.</w:t>
      </w:r>
      <w:r w:rsidR="5D3B6FF3" w:rsidRPr="3524BD2A">
        <w:rPr>
          <w:color w:val="333333"/>
        </w:rPr>
        <w:t xml:space="preserve"> </w:t>
      </w:r>
      <w:r w:rsidRPr="3524BD2A">
        <w:rPr>
          <w:color w:val="333333"/>
        </w:rPr>
        <w:t>A person with a weight of 200 represent</w:t>
      </w:r>
      <w:r w:rsidR="6850C2E3" w:rsidRPr="3524BD2A">
        <w:rPr>
          <w:color w:val="333333"/>
        </w:rPr>
        <w:t>ed</w:t>
      </w:r>
      <w:r w:rsidRPr="3524BD2A">
        <w:rPr>
          <w:color w:val="333333"/>
        </w:rPr>
        <w:t xml:space="preserve"> 200 people in the target population. The weights for each respondent </w:t>
      </w:r>
      <w:r w:rsidR="252763D8" w:rsidRPr="3524BD2A">
        <w:rPr>
          <w:color w:val="333333"/>
        </w:rPr>
        <w:t xml:space="preserve">added up </w:t>
      </w:r>
      <w:r w:rsidRPr="3524BD2A">
        <w:rPr>
          <w:color w:val="333333"/>
        </w:rPr>
        <w:t>to the total target population.</w:t>
      </w:r>
      <w:r w:rsidR="5D3B6FF3" w:rsidRPr="3524BD2A">
        <w:rPr>
          <w:color w:val="333333"/>
        </w:rPr>
        <w:t xml:space="preserve"> </w:t>
      </w:r>
    </w:p>
    <w:p w14:paraId="114436AC" w14:textId="32C9A5DC" w:rsidR="00AE0E32" w:rsidRPr="001C3C2C" w:rsidRDefault="5CAD21DC" w:rsidP="3524BD2A">
      <w:pPr>
        <w:rPr>
          <w:color w:val="333333"/>
        </w:rPr>
      </w:pPr>
      <w:r w:rsidRPr="3524BD2A">
        <w:rPr>
          <w:color w:val="333333"/>
        </w:rPr>
        <w:t>Determining the size of the weight for each respondent was done in three distinct steps:</w:t>
      </w:r>
    </w:p>
    <w:p w14:paraId="00F2186A" w14:textId="27411162" w:rsidR="00AE0E32" w:rsidRPr="00B149D8" w:rsidRDefault="5CAD21DC" w:rsidP="3524BD2A">
      <w:pPr>
        <w:pStyle w:val="ListParagraph"/>
        <w:numPr>
          <w:ilvl w:val="0"/>
          <w:numId w:val="21"/>
        </w:numPr>
        <w:spacing w:after="160" w:line="259" w:lineRule="auto"/>
        <w:rPr>
          <w:color w:val="333333"/>
        </w:rPr>
      </w:pPr>
      <w:r w:rsidRPr="3524BD2A">
        <w:rPr>
          <w:color w:val="333333"/>
        </w:rPr>
        <w:t>Assign an initial selection weight to account for some respondents having had a higher probability of be</w:t>
      </w:r>
      <w:r w:rsidR="135D7BEA" w:rsidRPr="3524BD2A">
        <w:rPr>
          <w:color w:val="333333"/>
        </w:rPr>
        <w:t>ing</w:t>
      </w:r>
      <w:r w:rsidRPr="3524BD2A">
        <w:rPr>
          <w:color w:val="333333"/>
        </w:rPr>
        <w:t xml:space="preserve"> selected. </w:t>
      </w:r>
    </w:p>
    <w:p w14:paraId="629F4943" w14:textId="77777777" w:rsidR="00AE0E32" w:rsidRPr="00B149D8" w:rsidRDefault="00AE0E32" w:rsidP="00AE0E32">
      <w:pPr>
        <w:pStyle w:val="ListParagraph"/>
        <w:numPr>
          <w:ilvl w:val="0"/>
          <w:numId w:val="21"/>
        </w:numPr>
        <w:spacing w:after="160" w:line="259" w:lineRule="auto"/>
        <w:rPr>
          <w:color w:val="333333"/>
        </w:rPr>
      </w:pPr>
      <w:r w:rsidRPr="00B149D8">
        <w:rPr>
          <w:color w:val="333333"/>
        </w:rPr>
        <w:t>Carry out a non-response adjustment to reduce bias by compensating for the 3,364 people who were selected to be in the survey but did not answer it.</w:t>
      </w:r>
    </w:p>
    <w:p w14:paraId="13CA765F" w14:textId="77777777" w:rsidR="00AE0E32" w:rsidRPr="00B149D8" w:rsidRDefault="00AE0E32" w:rsidP="00AE0E32">
      <w:pPr>
        <w:pStyle w:val="ListParagraph"/>
        <w:numPr>
          <w:ilvl w:val="0"/>
          <w:numId w:val="21"/>
        </w:numPr>
        <w:spacing w:after="160" w:line="259" w:lineRule="auto"/>
        <w:rPr>
          <w:color w:val="333333"/>
        </w:rPr>
      </w:pPr>
      <w:r w:rsidRPr="00B149D8">
        <w:rPr>
          <w:color w:val="333333"/>
        </w:rPr>
        <w:t xml:space="preserve">Calibrate with the target population to make the sum of weights equivalent to the target population within specified subgroups. </w:t>
      </w:r>
    </w:p>
    <w:p w14:paraId="2BA1F129" w14:textId="3437DD87" w:rsidR="00E14CFB" w:rsidRDefault="5E7072B3" w:rsidP="3524BD2A">
      <w:pPr>
        <w:rPr>
          <w:color w:val="333333"/>
        </w:rPr>
      </w:pPr>
      <w:r w:rsidRPr="3524BD2A">
        <w:rPr>
          <w:color w:val="333333"/>
        </w:rPr>
        <w:t xml:space="preserve">In </w:t>
      </w:r>
      <w:r w:rsidR="5CAD21DC" w:rsidRPr="3524BD2A">
        <w:rPr>
          <w:color w:val="333333"/>
        </w:rPr>
        <w:t xml:space="preserve">the first step, each person selected into the sample was given a ‘selection weight’. Selection weights were based on both the PSU and stratum that a person belonged to because people in different PSUs and strata had different probabilities of being selected. </w:t>
      </w:r>
    </w:p>
    <w:p w14:paraId="592BD016" w14:textId="20EE6BB2" w:rsidR="00AE0E32" w:rsidRPr="001C3C2C" w:rsidRDefault="00AE0E32" w:rsidP="00AE0E32">
      <w:pPr>
        <w:rPr>
          <w:color w:val="333333"/>
        </w:rPr>
      </w:pPr>
      <w:r w:rsidRPr="001C3C2C">
        <w:rPr>
          <w:color w:val="333333"/>
        </w:rPr>
        <w:t xml:space="preserve">Selection weights </w:t>
      </w:r>
      <w:r w:rsidR="00E14CFB">
        <w:rPr>
          <w:color w:val="333333"/>
        </w:rPr>
        <w:t xml:space="preserve">were </w:t>
      </w:r>
      <w:r w:rsidRPr="001C3C2C">
        <w:rPr>
          <w:color w:val="333333"/>
        </w:rPr>
        <w:t>calculated as the inverse probability a person had of being selected</w:t>
      </w:r>
      <w:r w:rsidR="00F64BF3">
        <w:rPr>
          <w:color w:val="333333"/>
        </w:rPr>
        <w:t>. S</w:t>
      </w:r>
      <w:r w:rsidRPr="001C3C2C">
        <w:rPr>
          <w:color w:val="333333"/>
        </w:rPr>
        <w:t>o</w:t>
      </w:r>
      <w:r w:rsidR="00C531FE">
        <w:rPr>
          <w:color w:val="333333"/>
        </w:rPr>
        <w:t>,</w:t>
      </w:r>
      <w:r w:rsidRPr="001C3C2C">
        <w:rPr>
          <w:color w:val="333333"/>
        </w:rPr>
        <w:t xml:space="preserve"> people who came from strata that were oversampled (children, Māori, or likely to be disabled) or from PSUs that had a higher probability of being selected (Pacific-dense or non-rural) had lower selection weights. </w:t>
      </w:r>
    </w:p>
    <w:p w14:paraId="3F9B3EC7" w14:textId="0A4E92F6" w:rsidR="001F157C" w:rsidRDefault="00AE0E32" w:rsidP="00AE0E32">
      <w:pPr>
        <w:rPr>
          <w:color w:val="333333"/>
        </w:rPr>
      </w:pPr>
      <w:r w:rsidRPr="001C3C2C">
        <w:rPr>
          <w:color w:val="333333"/>
        </w:rPr>
        <w:t xml:space="preserve">The second step in working out the weight for each respondent </w:t>
      </w:r>
      <w:r w:rsidR="009A5B55">
        <w:rPr>
          <w:color w:val="333333"/>
        </w:rPr>
        <w:t>wa</w:t>
      </w:r>
      <w:r w:rsidRPr="001C3C2C">
        <w:rPr>
          <w:color w:val="333333"/>
        </w:rPr>
        <w:t>s non-response adjustment. A total of 3,364 people were in the sample but did not provide a response. Non-response in surveys can happen for several reasons</w:t>
      </w:r>
      <w:r w:rsidR="00133162">
        <w:rPr>
          <w:color w:val="333333"/>
        </w:rPr>
        <w:t xml:space="preserve"> </w:t>
      </w:r>
      <w:r w:rsidRPr="001C3C2C">
        <w:rPr>
          <w:color w:val="333333"/>
        </w:rPr>
        <w:t>includ</w:t>
      </w:r>
      <w:r w:rsidR="00220B04">
        <w:rPr>
          <w:color w:val="333333"/>
        </w:rPr>
        <w:t>ing</w:t>
      </w:r>
      <w:r w:rsidR="001F157C">
        <w:rPr>
          <w:color w:val="333333"/>
        </w:rPr>
        <w:t>:</w:t>
      </w:r>
      <w:r w:rsidRPr="001C3C2C">
        <w:rPr>
          <w:color w:val="333333"/>
        </w:rPr>
        <w:t xml:space="preserve"> </w:t>
      </w:r>
    </w:p>
    <w:p w14:paraId="2F8FFCBE" w14:textId="47A77D17" w:rsidR="001F157C" w:rsidRPr="00956B3E" w:rsidRDefault="5CAD21DC" w:rsidP="3524BD2A">
      <w:pPr>
        <w:pStyle w:val="ListParagraph"/>
        <w:numPr>
          <w:ilvl w:val="0"/>
          <w:numId w:val="41"/>
        </w:numPr>
        <w:rPr>
          <w:color w:val="333333"/>
        </w:rPr>
      </w:pPr>
      <w:r w:rsidRPr="3524BD2A">
        <w:rPr>
          <w:color w:val="333333"/>
        </w:rPr>
        <w:t>the person being overseas for the entire collection period</w:t>
      </w:r>
    </w:p>
    <w:p w14:paraId="15B8A377" w14:textId="3394D216" w:rsidR="001F157C" w:rsidRPr="00956B3E" w:rsidRDefault="00AE0E32" w:rsidP="00CC7763">
      <w:pPr>
        <w:pStyle w:val="ListParagraph"/>
        <w:numPr>
          <w:ilvl w:val="0"/>
          <w:numId w:val="41"/>
        </w:numPr>
        <w:rPr>
          <w:color w:val="333333"/>
        </w:rPr>
      </w:pPr>
      <w:r w:rsidRPr="001A5246">
        <w:rPr>
          <w:color w:val="333333"/>
        </w:rPr>
        <w:t>the person refusing to take part</w:t>
      </w:r>
    </w:p>
    <w:p w14:paraId="05156D76" w14:textId="6CDDCE05" w:rsidR="001F157C" w:rsidRPr="00956B3E" w:rsidRDefault="00AE0E32" w:rsidP="00CC7763">
      <w:pPr>
        <w:pStyle w:val="ListParagraph"/>
        <w:numPr>
          <w:ilvl w:val="0"/>
          <w:numId w:val="41"/>
        </w:numPr>
        <w:rPr>
          <w:color w:val="333333"/>
        </w:rPr>
      </w:pPr>
      <w:r w:rsidRPr="001A5246">
        <w:rPr>
          <w:color w:val="333333"/>
        </w:rPr>
        <w:t>the phone number and address held by Stats NZ being incorrect or out-of-date (leaving Stats NZ with no way to contact the person)</w:t>
      </w:r>
    </w:p>
    <w:p w14:paraId="4E1D2C7C" w14:textId="213384BD" w:rsidR="001F157C" w:rsidRPr="00C906B3" w:rsidRDefault="5CAD21DC" w:rsidP="3524BD2A">
      <w:pPr>
        <w:pStyle w:val="ListParagraph"/>
        <w:numPr>
          <w:ilvl w:val="0"/>
          <w:numId w:val="41"/>
        </w:numPr>
        <w:rPr>
          <w:color w:val="333333"/>
        </w:rPr>
      </w:pPr>
      <w:r w:rsidRPr="3524BD2A">
        <w:rPr>
          <w:color w:val="333333"/>
        </w:rPr>
        <w:t>the person having serious, long-lasting health problems that meant they were too unwell to answer the survey for the entire collection period</w:t>
      </w:r>
      <w:r w:rsidR="12B04B86" w:rsidRPr="3524BD2A">
        <w:rPr>
          <w:color w:val="333333"/>
        </w:rPr>
        <w:t>,</w:t>
      </w:r>
      <w:r w:rsidRPr="3524BD2A">
        <w:rPr>
          <w:color w:val="333333"/>
        </w:rPr>
        <w:t xml:space="preserve"> and they did not </w:t>
      </w:r>
      <w:r w:rsidRPr="3524BD2A">
        <w:t>hav</w:t>
      </w:r>
      <w:r w:rsidRPr="3524BD2A">
        <w:rPr>
          <w:color w:val="333333"/>
        </w:rPr>
        <w:t xml:space="preserve">e anyone who could do a proxy interview. </w:t>
      </w:r>
    </w:p>
    <w:p w14:paraId="232CE680" w14:textId="77777777" w:rsidR="00097A87" w:rsidRDefault="00AE0E32" w:rsidP="00AE0E32">
      <w:pPr>
        <w:rPr>
          <w:color w:val="333333"/>
        </w:rPr>
      </w:pPr>
      <w:r w:rsidRPr="001C3C2C">
        <w:rPr>
          <w:color w:val="333333"/>
        </w:rPr>
        <w:t xml:space="preserve">People who were </w:t>
      </w:r>
      <w:r w:rsidR="00F42FF0">
        <w:rPr>
          <w:color w:val="333333"/>
        </w:rPr>
        <w:t xml:space="preserve">selected for the </w:t>
      </w:r>
      <w:r w:rsidRPr="001C3C2C">
        <w:rPr>
          <w:color w:val="333333"/>
        </w:rPr>
        <w:t>survey but did not respond need to be represented in the survey estimates by people who did respond. To work out how best to do this</w:t>
      </w:r>
      <w:r w:rsidR="009D197A">
        <w:rPr>
          <w:color w:val="333333"/>
        </w:rPr>
        <w:t>,</w:t>
      </w:r>
      <w:r w:rsidRPr="001C3C2C">
        <w:rPr>
          <w:color w:val="333333"/>
        </w:rPr>
        <w:t xml:space="preserve"> a statistical model was used. </w:t>
      </w:r>
    </w:p>
    <w:p w14:paraId="00DAB0F7" w14:textId="569CFDEF" w:rsidR="00AE0E32" w:rsidRPr="001C3C2C" w:rsidRDefault="5CAD21DC" w:rsidP="3524BD2A">
      <w:pPr>
        <w:rPr>
          <w:color w:val="333333"/>
        </w:rPr>
      </w:pPr>
      <w:r w:rsidRPr="3524BD2A">
        <w:rPr>
          <w:color w:val="333333"/>
        </w:rPr>
        <w:t>The model produced an estimate</w:t>
      </w:r>
      <w:r w:rsidR="29264762" w:rsidRPr="3524BD2A">
        <w:rPr>
          <w:color w:val="333333"/>
        </w:rPr>
        <w:t xml:space="preserve"> </w:t>
      </w:r>
      <w:r w:rsidRPr="3524BD2A">
        <w:rPr>
          <w:color w:val="333333"/>
        </w:rPr>
        <w:t>of how likely each selected person was to respond to the survey</w:t>
      </w:r>
      <w:r w:rsidR="545DF9CA" w:rsidRPr="3524BD2A">
        <w:rPr>
          <w:color w:val="333333"/>
        </w:rPr>
        <w:t>,</w:t>
      </w:r>
      <w:r w:rsidR="0D0F8EF2" w:rsidRPr="3524BD2A">
        <w:rPr>
          <w:color w:val="333333"/>
        </w:rPr>
        <w:t xml:space="preserve"> based on their personal characteristics</w:t>
      </w:r>
      <w:r w:rsidRPr="3524BD2A">
        <w:rPr>
          <w:color w:val="333333"/>
        </w:rPr>
        <w:t>. This is known as their ‘response propensity’</w:t>
      </w:r>
      <w:r w:rsidR="3A9ED7CD" w:rsidRPr="3524BD2A">
        <w:rPr>
          <w:color w:val="333333"/>
        </w:rPr>
        <w:t xml:space="preserve"> and </w:t>
      </w:r>
      <w:r w:rsidR="65932737" w:rsidRPr="3524BD2A">
        <w:rPr>
          <w:color w:val="333333"/>
        </w:rPr>
        <w:t xml:space="preserve">it </w:t>
      </w:r>
      <w:r w:rsidR="3A9ED7CD" w:rsidRPr="3524BD2A">
        <w:rPr>
          <w:color w:val="333333"/>
        </w:rPr>
        <w:t>was expressed as a percentage</w:t>
      </w:r>
      <w:r w:rsidRPr="3524BD2A">
        <w:rPr>
          <w:color w:val="333333"/>
        </w:rPr>
        <w:t>. The estimate</w:t>
      </w:r>
      <w:r w:rsidR="545DF9CA" w:rsidRPr="3524BD2A">
        <w:rPr>
          <w:color w:val="333333"/>
        </w:rPr>
        <w:t>d response propensity</w:t>
      </w:r>
      <w:r w:rsidR="348DB1E2" w:rsidRPr="3524BD2A">
        <w:rPr>
          <w:color w:val="333333"/>
        </w:rPr>
        <w:t xml:space="preserve"> was</w:t>
      </w:r>
      <w:r w:rsidRPr="3524BD2A">
        <w:rPr>
          <w:color w:val="333333"/>
        </w:rPr>
        <w:t xml:space="preserve"> used to adjust the weights of people who did respond so that they represent</w:t>
      </w:r>
      <w:r w:rsidR="1A004372" w:rsidRPr="3524BD2A">
        <w:rPr>
          <w:color w:val="333333"/>
        </w:rPr>
        <w:t>ed</w:t>
      </w:r>
      <w:r w:rsidRPr="3524BD2A">
        <w:rPr>
          <w:color w:val="333333"/>
        </w:rPr>
        <w:t xml:space="preserve"> the people who did not</w:t>
      </w:r>
      <w:r w:rsidR="037175B6" w:rsidRPr="3524BD2A">
        <w:rPr>
          <w:color w:val="333333"/>
        </w:rPr>
        <w:t>. The adjustment involve</w:t>
      </w:r>
      <w:r w:rsidR="3C9F91DD" w:rsidRPr="3524BD2A">
        <w:rPr>
          <w:color w:val="333333"/>
        </w:rPr>
        <w:t>d</w:t>
      </w:r>
      <w:r w:rsidR="037175B6" w:rsidRPr="3524BD2A">
        <w:rPr>
          <w:color w:val="333333"/>
        </w:rPr>
        <w:t xml:space="preserve"> multiplying</w:t>
      </w:r>
      <w:r w:rsidR="29264762" w:rsidRPr="3524BD2A">
        <w:rPr>
          <w:color w:val="333333"/>
        </w:rPr>
        <w:t xml:space="preserve"> </w:t>
      </w:r>
      <w:proofErr w:type="gramStart"/>
      <w:r w:rsidR="0B4E03BE" w:rsidRPr="3524BD2A">
        <w:rPr>
          <w:color w:val="333333"/>
        </w:rPr>
        <w:t>each individual’s</w:t>
      </w:r>
      <w:proofErr w:type="gramEnd"/>
      <w:r w:rsidR="037175B6" w:rsidRPr="3524BD2A">
        <w:rPr>
          <w:color w:val="333333"/>
        </w:rPr>
        <w:t xml:space="preserve"> selection weight by the</w:t>
      </w:r>
      <w:r w:rsidR="3A9ED7CD" w:rsidRPr="3524BD2A">
        <w:rPr>
          <w:color w:val="333333"/>
        </w:rPr>
        <w:t xml:space="preserve"> multiplicative</w:t>
      </w:r>
      <w:r w:rsidR="037175B6" w:rsidRPr="3524BD2A">
        <w:rPr>
          <w:color w:val="333333"/>
        </w:rPr>
        <w:t xml:space="preserve"> inverse of </w:t>
      </w:r>
      <w:r w:rsidR="0B4E03BE" w:rsidRPr="3524BD2A">
        <w:rPr>
          <w:color w:val="333333"/>
        </w:rPr>
        <w:t xml:space="preserve">their </w:t>
      </w:r>
      <w:r w:rsidR="3A9ED7CD" w:rsidRPr="3524BD2A">
        <w:rPr>
          <w:color w:val="333333"/>
        </w:rPr>
        <w:t>estimated</w:t>
      </w:r>
      <w:r w:rsidR="037175B6" w:rsidRPr="3524BD2A">
        <w:rPr>
          <w:color w:val="333333"/>
        </w:rPr>
        <w:t xml:space="preserve"> response propensity</w:t>
      </w:r>
      <w:r w:rsidR="3A9ED7CD" w:rsidRPr="3524BD2A">
        <w:rPr>
          <w:color w:val="333333"/>
        </w:rPr>
        <w:t>.</w:t>
      </w:r>
    </w:p>
    <w:p w14:paraId="235CE8A9" w14:textId="679E3022" w:rsidR="00892458" w:rsidRDefault="5CAD21DC" w:rsidP="3524BD2A">
      <w:pPr>
        <w:rPr>
          <w:color w:val="333333"/>
        </w:rPr>
      </w:pPr>
      <w:r w:rsidRPr="3524BD2A">
        <w:rPr>
          <w:color w:val="333333"/>
        </w:rPr>
        <w:t xml:space="preserve">Once the weights </w:t>
      </w:r>
      <w:r w:rsidR="5A749EBD" w:rsidRPr="3524BD2A">
        <w:rPr>
          <w:color w:val="333333"/>
        </w:rPr>
        <w:t>were</w:t>
      </w:r>
      <w:r w:rsidRPr="3524BD2A">
        <w:rPr>
          <w:color w:val="333333"/>
        </w:rPr>
        <w:t xml:space="preserve"> adjusted for non-response, the third and final step of weighting involve</w:t>
      </w:r>
      <w:r w:rsidR="5A749EBD" w:rsidRPr="3524BD2A">
        <w:rPr>
          <w:color w:val="333333"/>
        </w:rPr>
        <w:t>d</w:t>
      </w:r>
      <w:r w:rsidRPr="3524BD2A">
        <w:rPr>
          <w:color w:val="333333"/>
        </w:rPr>
        <w:t xml:space="preserve"> calibration to target population benchmarks. Benchmarks are independent counts of people in the target population. </w:t>
      </w:r>
    </w:p>
    <w:p w14:paraId="60C3A675" w14:textId="0DFC4E84" w:rsidR="00AE0E32" w:rsidRDefault="00AE0E32" w:rsidP="00AE0E32">
      <w:pPr>
        <w:rPr>
          <w:color w:val="333333"/>
        </w:rPr>
      </w:pPr>
      <w:r w:rsidRPr="2B669B59">
        <w:rPr>
          <w:color w:val="333333"/>
        </w:rPr>
        <w:t>The benchmarks used in the HDS were estimates of the March 2023 population based on 2018 Census counts.</w:t>
      </w:r>
      <w:r w:rsidR="00A02E1C">
        <w:rPr>
          <w:color w:val="333333"/>
        </w:rPr>
        <w:t xml:space="preserve"> </w:t>
      </w:r>
      <w:r w:rsidRPr="2B669B59">
        <w:rPr>
          <w:color w:val="333333"/>
        </w:rPr>
        <w:t>This means that benchmarks used were for sex rather than gender as gender was not available from the 2018 Census.</w:t>
      </w:r>
      <w:r w:rsidR="00A02E1C">
        <w:rPr>
          <w:color w:val="333333"/>
        </w:rPr>
        <w:t xml:space="preserve"> </w:t>
      </w:r>
    </w:p>
    <w:p w14:paraId="4CD5AF38" w14:textId="03FE905F" w:rsidR="00AE0E32" w:rsidRPr="001C3C2C" w:rsidRDefault="00AE0E32" w:rsidP="00AE0E32">
      <w:pPr>
        <w:rPr>
          <w:color w:val="333333"/>
        </w:rPr>
      </w:pPr>
      <w:r w:rsidRPr="001C3C2C">
        <w:rPr>
          <w:color w:val="333333"/>
        </w:rPr>
        <w:t xml:space="preserve">After being calibrated, the weights sum to each set of benchmarks at the same time. Calibration </w:t>
      </w:r>
      <w:r w:rsidRPr="001C3C2C" w:rsidDel="00F91C78">
        <w:rPr>
          <w:color w:val="333333"/>
        </w:rPr>
        <w:t xml:space="preserve">was done </w:t>
      </w:r>
      <w:r w:rsidDel="00F91C78">
        <w:rPr>
          <w:color w:val="333333"/>
        </w:rPr>
        <w:t>so</w:t>
      </w:r>
      <w:r>
        <w:rPr>
          <w:color w:val="333333"/>
        </w:rPr>
        <w:t xml:space="preserve"> that survey weight totals matched the </w:t>
      </w:r>
      <w:r w:rsidRPr="001C3C2C">
        <w:rPr>
          <w:color w:val="333333"/>
        </w:rPr>
        <w:t>benchmark data for:</w:t>
      </w:r>
    </w:p>
    <w:p w14:paraId="3CAFDF0C" w14:textId="4A07506B" w:rsidR="00AE0E32" w:rsidRPr="00246B27" w:rsidRDefault="00AE0E32" w:rsidP="004A11FB">
      <w:pPr>
        <w:pStyle w:val="ListParagraph"/>
        <w:numPr>
          <w:ilvl w:val="0"/>
          <w:numId w:val="20"/>
        </w:numPr>
        <w:spacing w:after="160" w:line="259" w:lineRule="auto"/>
        <w:rPr>
          <w:color w:val="333333"/>
        </w:rPr>
      </w:pPr>
      <w:r w:rsidRPr="00246B27">
        <w:rPr>
          <w:color w:val="333333"/>
        </w:rPr>
        <w:t>Five-year age groups by sex</w:t>
      </w:r>
    </w:p>
    <w:p w14:paraId="420C91D2" w14:textId="77777777" w:rsidR="00AE0E32" w:rsidRPr="00246B27" w:rsidRDefault="00AE0E32" w:rsidP="004A11FB">
      <w:pPr>
        <w:pStyle w:val="ListParagraph"/>
        <w:numPr>
          <w:ilvl w:val="0"/>
          <w:numId w:val="20"/>
        </w:numPr>
        <w:spacing w:after="160" w:line="259" w:lineRule="auto"/>
        <w:rPr>
          <w:color w:val="333333"/>
        </w:rPr>
      </w:pPr>
      <w:r w:rsidRPr="00246B27">
        <w:rPr>
          <w:color w:val="333333"/>
        </w:rPr>
        <w:t>Five-year age groups by sex for Māori ethnic group</w:t>
      </w:r>
    </w:p>
    <w:p w14:paraId="7743038C" w14:textId="2E5ED24A" w:rsidR="00AE0E32" w:rsidRPr="00743650" w:rsidRDefault="00DC6B96" w:rsidP="004A11FB">
      <w:pPr>
        <w:pStyle w:val="ListParagraph"/>
        <w:numPr>
          <w:ilvl w:val="0"/>
          <w:numId w:val="20"/>
        </w:numPr>
        <w:spacing w:after="160" w:line="259" w:lineRule="auto"/>
        <w:rPr>
          <w:color w:val="333333"/>
        </w:rPr>
      </w:pPr>
      <w:r>
        <w:rPr>
          <w:color w:val="333333"/>
        </w:rPr>
        <w:t>Twel</w:t>
      </w:r>
      <w:r w:rsidR="002F72F0">
        <w:rPr>
          <w:color w:val="333333"/>
        </w:rPr>
        <w:t>ve</w:t>
      </w:r>
      <w:r w:rsidRPr="00743650">
        <w:rPr>
          <w:color w:val="333333"/>
        </w:rPr>
        <w:t xml:space="preserve"> </w:t>
      </w:r>
      <w:r w:rsidR="00AE0E32" w:rsidRPr="00743650">
        <w:rPr>
          <w:color w:val="333333"/>
        </w:rPr>
        <w:t>regions</w:t>
      </w:r>
      <w:r w:rsidR="00595C1A">
        <w:rPr>
          <w:color w:val="333333"/>
        </w:rPr>
        <w:t>.</w:t>
      </w:r>
    </w:p>
    <w:p w14:paraId="1E6B911C" w14:textId="5E61D451" w:rsidR="00BA69EC" w:rsidRPr="00AE0E32" w:rsidRDefault="00AE0E32" w:rsidP="00AE0E32">
      <w:pPr>
        <w:rPr>
          <w:color w:val="333333"/>
        </w:rPr>
      </w:pPr>
      <w:r w:rsidRPr="009F1603">
        <w:t>Calibration adjust</w:t>
      </w:r>
      <w:r w:rsidR="002C2235">
        <w:t>ed</w:t>
      </w:r>
      <w:r w:rsidRPr="009F1603">
        <w:t xml:space="preserve"> for </w:t>
      </w:r>
      <w:r>
        <w:t>coverage errors in the sampling frame and the under- or over-representation of groups in the sample.</w:t>
      </w:r>
      <w:r w:rsidR="00A02E1C">
        <w:t xml:space="preserve"> </w:t>
      </w:r>
    </w:p>
    <w:p w14:paraId="6066A66C" w14:textId="5457BFEE" w:rsidR="00BA69EC" w:rsidRDefault="00BA69EC" w:rsidP="00BA69EC">
      <w:pPr>
        <w:pStyle w:val="Heading2"/>
      </w:pPr>
      <w:bookmarkStart w:id="204" w:name="_Toc187762903"/>
      <w:bookmarkStart w:id="205" w:name="_Toc187763585"/>
      <w:bookmarkStart w:id="206" w:name="_Toc187763864"/>
      <w:bookmarkStart w:id="207" w:name="_Toc190856867"/>
      <w:r>
        <w:t>7.6 Field work</w:t>
      </w:r>
      <w:bookmarkEnd w:id="204"/>
      <w:bookmarkEnd w:id="205"/>
      <w:bookmarkEnd w:id="206"/>
      <w:bookmarkEnd w:id="207"/>
      <w:r>
        <w:t xml:space="preserve"> </w:t>
      </w:r>
    </w:p>
    <w:p w14:paraId="01B44372" w14:textId="0EEA6F70" w:rsidR="00C070E1" w:rsidRPr="001C3C2C" w:rsidRDefault="00C070E1" w:rsidP="00C070E1">
      <w:pPr>
        <w:rPr>
          <w:color w:val="333333"/>
        </w:rPr>
      </w:pPr>
      <w:r w:rsidRPr="001C3C2C">
        <w:rPr>
          <w:noProof/>
          <w:color w:val="333333"/>
        </w:rPr>
        <mc:AlternateContent>
          <mc:Choice Requires="aink">
            <w:drawing>
              <wp:anchor distT="0" distB="0" distL="114300" distR="114300" simplePos="0" relativeHeight="251658241" behindDoc="0" locked="0" layoutInCell="1" allowOverlap="1" wp14:anchorId="0B0069E8" wp14:editId="29EBA90C">
                <wp:simplePos x="0" y="0"/>
                <wp:positionH relativeFrom="column">
                  <wp:posOffset>2448493</wp:posOffset>
                </wp:positionH>
                <wp:positionV relativeFrom="paragraph">
                  <wp:posOffset>86667</wp:posOffset>
                </wp:positionV>
                <wp:extent cx="360" cy="360"/>
                <wp:effectExtent l="57150" t="57150" r="57150" b="57150"/>
                <wp:wrapNone/>
                <wp:docPr id="1008229037" name="Ink 1"/>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xmlns:arto="http://schemas.microsoft.com/office/word/2006/arto">
            <w:drawing>
              <wp:anchor distT="0" distB="0" distL="114300" distR="114300" simplePos="0" relativeHeight="251658241" behindDoc="0" locked="0" layoutInCell="1" allowOverlap="1" wp14:anchorId="0C5DB8DD" wp14:editId="29EBA90C">
                <wp:simplePos x="0" y="0"/>
                <wp:positionH relativeFrom="column">
                  <wp:posOffset>2448493</wp:posOffset>
                </wp:positionH>
                <wp:positionV relativeFrom="paragraph">
                  <wp:posOffset>86667</wp:posOffset>
                </wp:positionV>
                <wp:extent cx="360" cy="360"/>
                <wp:effectExtent l="57150" t="57150" r="57150" b="57150"/>
                <wp:wrapNone/>
                <wp:docPr id="988729853" name="Ink 1"/>
                <wp:cNvGraphicFramePr/>
                <a:graphic xmlns:a="http://schemas.openxmlformats.org/drawingml/2006/main">
                  <a:graphicData uri="http://schemas.openxmlformats.org/drawingml/2006/picture">
                    <pic:pic xmlns:pic="http://schemas.openxmlformats.org/drawingml/2006/picture">
                      <pic:nvPicPr>
                        <pic:cNvPr id="1008229037" name="Ink 1"/>
                        <pic:cNvPicPr/>
                      </pic:nvPicPr>
                      <pic:blipFill>
                        <a:blip r:embed="rId52"/>
                        <a:stretch>
                          <a:fillRect/>
                        </a:stretch>
                      </pic:blipFill>
                      <pic:spPr>
                        <a:xfrm>
                          <a:off x="0" y="0"/>
                          <a:ext cx="18000" cy="18000"/>
                        </a:xfrm>
                        <a:prstGeom prst="rect">
                          <a:avLst/>
                        </a:prstGeom>
                      </pic:spPr>
                    </pic:pic>
                  </a:graphicData>
                </a:graphic>
              </wp:anchor>
            </w:drawing>
          </mc:Fallback>
        </mc:AlternateContent>
      </w:r>
      <w:r>
        <w:rPr>
          <w:color w:val="333333"/>
        </w:rPr>
        <w:t>T</w:t>
      </w:r>
      <w:r w:rsidRPr="001C3C2C">
        <w:rPr>
          <w:color w:val="333333"/>
        </w:rPr>
        <w:t>he data collection took place over 12 and a half weeks, from 23 August 2023 to 19 November 2023.</w:t>
      </w:r>
    </w:p>
    <w:p w14:paraId="37F5DE56" w14:textId="472918B0" w:rsidR="00C070E1" w:rsidRPr="00FC4EC9" w:rsidRDefault="1CA3A029" w:rsidP="3524BD2A">
      <w:pPr>
        <w:rPr>
          <w:rFonts w:cstheme="minorBidi"/>
          <w:color w:val="000000"/>
          <w:shd w:val="clear" w:color="auto" w:fill="FFFFFF"/>
        </w:rPr>
      </w:pPr>
      <w:r w:rsidRPr="3524BD2A">
        <w:rPr>
          <w:color w:val="333333"/>
        </w:rPr>
        <w:t xml:space="preserve">Survey responses were collected </w:t>
      </w:r>
      <w:r w:rsidR="20D82F45" w:rsidRPr="3524BD2A">
        <w:rPr>
          <w:color w:val="333333"/>
        </w:rPr>
        <w:t>either by</w:t>
      </w:r>
      <w:r w:rsidR="36901ABB" w:rsidRPr="3524BD2A">
        <w:rPr>
          <w:color w:val="333333"/>
        </w:rPr>
        <w:t xml:space="preserve"> </w:t>
      </w:r>
      <w:r w:rsidRPr="3524BD2A">
        <w:rPr>
          <w:color w:val="333333"/>
        </w:rPr>
        <w:t xml:space="preserve">phone </w:t>
      </w:r>
      <w:r w:rsidR="36901ABB" w:rsidRPr="3524BD2A">
        <w:rPr>
          <w:color w:val="333333"/>
        </w:rPr>
        <w:t>or</w:t>
      </w:r>
      <w:r w:rsidRPr="3524BD2A">
        <w:rPr>
          <w:color w:val="333333"/>
        </w:rPr>
        <w:t xml:space="preserve"> face-to-face interviews by trained interviewers</w:t>
      </w:r>
      <w:r w:rsidR="23F84EBA" w:rsidRPr="3524BD2A">
        <w:rPr>
          <w:color w:val="333333"/>
        </w:rPr>
        <w:t xml:space="preserve"> using an electronic questionnaire</w:t>
      </w:r>
      <w:r w:rsidRPr="3524BD2A">
        <w:rPr>
          <w:color w:val="333333"/>
        </w:rPr>
        <w:t>. NZSL trained interviewers were available</w:t>
      </w:r>
      <w:r w:rsidR="34B712DD" w:rsidRPr="3524BD2A">
        <w:rPr>
          <w:color w:val="333333"/>
        </w:rPr>
        <w:t>,</w:t>
      </w:r>
      <w:r w:rsidRPr="3524BD2A">
        <w:rPr>
          <w:color w:val="333333"/>
        </w:rPr>
        <w:t xml:space="preserve"> as well as other methods</w:t>
      </w:r>
      <w:r w:rsidR="1B69550C" w:rsidRPr="3524BD2A">
        <w:rPr>
          <w:color w:val="333333"/>
        </w:rPr>
        <w:t>,</w:t>
      </w:r>
      <w:r w:rsidRPr="3524BD2A">
        <w:rPr>
          <w:color w:val="333333"/>
        </w:rPr>
        <w:t xml:space="preserve"> </w:t>
      </w:r>
      <w:r w:rsidR="27F81DB6" w:rsidRPr="3524BD2A">
        <w:rPr>
          <w:color w:val="333333"/>
        </w:rPr>
        <w:t>so</w:t>
      </w:r>
      <w:r w:rsidRPr="3524BD2A">
        <w:rPr>
          <w:color w:val="333333"/>
        </w:rPr>
        <w:t xml:space="preserve"> hearing impaired people could participate in the survey.</w:t>
      </w:r>
      <w:r w:rsidR="51D27D1D" w:rsidRPr="3524BD2A">
        <w:rPr>
          <w:rFonts w:cstheme="minorBidi"/>
          <w:color w:val="000000"/>
          <w:shd w:val="clear" w:color="auto" w:fill="FFFFFF"/>
        </w:rPr>
        <w:t xml:space="preserve"> </w:t>
      </w:r>
      <w:r w:rsidR="18EF9622" w:rsidRPr="3524BD2A">
        <w:rPr>
          <w:color w:val="333333"/>
        </w:rPr>
        <w:t>By default, all sample members were initially interviewed by telephone</w:t>
      </w:r>
      <w:r w:rsidR="6C02F2D1" w:rsidRPr="3524BD2A">
        <w:rPr>
          <w:color w:val="333333"/>
        </w:rPr>
        <w:t xml:space="preserve"> unless:</w:t>
      </w:r>
    </w:p>
    <w:p w14:paraId="6E5F4E06" w14:textId="782D20C7" w:rsidR="00C070E1" w:rsidRPr="00D11CE5" w:rsidRDefault="00B07D26" w:rsidP="00C070E1">
      <w:pPr>
        <w:pStyle w:val="ListParagraph"/>
        <w:numPr>
          <w:ilvl w:val="0"/>
          <w:numId w:val="22"/>
        </w:numPr>
        <w:spacing w:after="160" w:line="259" w:lineRule="auto"/>
        <w:rPr>
          <w:color w:val="333333"/>
        </w:rPr>
      </w:pPr>
      <w:r>
        <w:rPr>
          <w:color w:val="333333"/>
        </w:rPr>
        <w:t>t</w:t>
      </w:r>
      <w:r w:rsidR="00C070E1" w:rsidRPr="00D11CE5">
        <w:rPr>
          <w:color w:val="333333"/>
        </w:rPr>
        <w:t>he</w:t>
      </w:r>
      <w:r w:rsidR="009D1182">
        <w:rPr>
          <w:color w:val="333333"/>
        </w:rPr>
        <w:t xml:space="preserve">re was </w:t>
      </w:r>
      <w:r w:rsidR="00C070E1" w:rsidRPr="00D11CE5">
        <w:rPr>
          <w:color w:val="333333"/>
        </w:rPr>
        <w:t>no phone number on their 2023 Census form, in which case an interviewer visited them at home</w:t>
      </w:r>
    </w:p>
    <w:p w14:paraId="594132A4" w14:textId="5B72E377" w:rsidR="00C070E1" w:rsidRDefault="61610E0E" w:rsidP="3524BD2A">
      <w:pPr>
        <w:pStyle w:val="ListParagraph"/>
        <w:numPr>
          <w:ilvl w:val="0"/>
          <w:numId w:val="22"/>
        </w:numPr>
        <w:spacing w:after="160" w:line="259" w:lineRule="auto"/>
        <w:rPr>
          <w:color w:val="333333"/>
        </w:rPr>
      </w:pPr>
      <w:r w:rsidRPr="3524BD2A">
        <w:rPr>
          <w:color w:val="333333"/>
        </w:rPr>
        <w:t>they</w:t>
      </w:r>
      <w:r w:rsidR="7E956CF6" w:rsidRPr="3524BD2A">
        <w:rPr>
          <w:color w:val="333333"/>
        </w:rPr>
        <w:t xml:space="preserve"> had</w:t>
      </w:r>
      <w:r w:rsidR="18EF9622" w:rsidRPr="3524BD2A">
        <w:rPr>
          <w:color w:val="333333"/>
        </w:rPr>
        <w:t xml:space="preserve"> indicated on their </w:t>
      </w:r>
      <w:r w:rsidR="0F319927" w:rsidRPr="3524BD2A">
        <w:rPr>
          <w:color w:val="333333"/>
        </w:rPr>
        <w:t xml:space="preserve">2023 </w:t>
      </w:r>
      <w:r w:rsidR="18EF9622" w:rsidRPr="3524BD2A">
        <w:rPr>
          <w:color w:val="333333"/>
        </w:rPr>
        <w:t xml:space="preserve">Census form that they had a hearing </w:t>
      </w:r>
      <w:proofErr w:type="gramStart"/>
      <w:r w:rsidR="18EF9622" w:rsidRPr="3524BD2A">
        <w:rPr>
          <w:color w:val="333333"/>
        </w:rPr>
        <w:t>impairment</w:t>
      </w:r>
      <w:r w:rsidR="2306E677" w:rsidRPr="3524BD2A">
        <w:rPr>
          <w:color w:val="333333"/>
        </w:rPr>
        <w:t>,</w:t>
      </w:r>
      <w:proofErr w:type="gramEnd"/>
      <w:r w:rsidR="18EF9622" w:rsidRPr="3524BD2A">
        <w:rPr>
          <w:color w:val="333333"/>
        </w:rPr>
        <w:t xml:space="preserve"> in which case they were contacted by a member of the NZ Sign Language interviewer team.</w:t>
      </w:r>
    </w:p>
    <w:p w14:paraId="566DF7E3" w14:textId="23E643A9" w:rsidR="00E60685" w:rsidRDefault="005571DC" w:rsidP="00C070E1">
      <w:pPr>
        <w:rPr>
          <w:color w:val="333333"/>
        </w:rPr>
      </w:pPr>
      <w:r>
        <w:rPr>
          <w:color w:val="333333"/>
        </w:rPr>
        <w:t xml:space="preserve">Respondents could switch from one mode of interviewing to the other, by request. </w:t>
      </w:r>
      <w:r w:rsidR="00225209">
        <w:rPr>
          <w:color w:val="333333"/>
        </w:rPr>
        <w:t>In total,</w:t>
      </w:r>
      <w:r>
        <w:rPr>
          <w:color w:val="333333"/>
        </w:rPr>
        <w:t xml:space="preserve"> </w:t>
      </w:r>
      <w:r w:rsidR="00DD24BE">
        <w:rPr>
          <w:color w:val="333333"/>
        </w:rPr>
        <w:t>26 percent of respondents completed their survey in person, and 74 percent by phone.</w:t>
      </w:r>
    </w:p>
    <w:p w14:paraId="227C1E99" w14:textId="7778CAEB" w:rsidR="00816162" w:rsidRDefault="019779AE" w:rsidP="3524BD2A">
      <w:pPr>
        <w:rPr>
          <w:color w:val="333333"/>
        </w:rPr>
      </w:pPr>
      <w:r w:rsidRPr="3524BD2A">
        <w:rPr>
          <w:color w:val="333333"/>
        </w:rPr>
        <w:t xml:space="preserve">Children selected for the HDS had their interview completed by an adult proxy. These were typically the child’s parent or another primary caregiver. Wherever possible, adults completed the survey for themselves </w:t>
      </w:r>
      <w:r w:rsidR="2D64E5CB" w:rsidRPr="3524BD2A">
        <w:rPr>
          <w:color w:val="333333"/>
        </w:rPr>
        <w:t>and could be</w:t>
      </w:r>
      <w:r w:rsidRPr="3524BD2A">
        <w:rPr>
          <w:color w:val="333333"/>
        </w:rPr>
        <w:t xml:space="preserve"> supported to do so by someone they trusted. However, if an adult was unable to participate due to a health condition or disability, a proxy was sought to complete the survey on their behalf. That proxy </w:t>
      </w:r>
      <w:r w:rsidR="78C887AB" w:rsidRPr="3524BD2A">
        <w:rPr>
          <w:color w:val="333333"/>
        </w:rPr>
        <w:t xml:space="preserve">was </w:t>
      </w:r>
      <w:r w:rsidRPr="3524BD2A">
        <w:rPr>
          <w:color w:val="333333"/>
        </w:rPr>
        <w:t>typically their carer.</w:t>
      </w:r>
    </w:p>
    <w:p w14:paraId="18649969" w14:textId="77777777" w:rsidR="00816162" w:rsidRDefault="00816162" w:rsidP="00816162">
      <w:pPr>
        <w:rPr>
          <w:color w:val="333333"/>
        </w:rPr>
      </w:pPr>
      <w:r w:rsidRPr="009E4954">
        <w:rPr>
          <w:rFonts w:cstheme="minorHAnsi"/>
          <w:color w:val="333333"/>
        </w:rPr>
        <w:t xml:space="preserve">The HDS electronic questionnaire was designed in flowcharts. It was then built using Blaise® </w:t>
      </w:r>
      <w:r>
        <w:rPr>
          <w:rFonts w:cstheme="minorHAnsi"/>
          <w:color w:val="333333"/>
        </w:rPr>
        <w:t xml:space="preserve">(a </w:t>
      </w:r>
      <w:r w:rsidRPr="009E4954">
        <w:rPr>
          <w:rFonts w:cstheme="minorHAnsi"/>
          <w:color w:val="333333"/>
        </w:rPr>
        <w:t xml:space="preserve">computer-assisted interviewing system and survey processing tool developed by Statistics Netherlands). </w:t>
      </w:r>
      <w:r w:rsidRPr="001C3C2C">
        <w:rPr>
          <w:color w:val="333333"/>
        </w:rPr>
        <w:t xml:space="preserve">Salesforce was used to manage sample members while the survey was in the field. </w:t>
      </w:r>
    </w:p>
    <w:p w14:paraId="159665B5" w14:textId="0648DE99" w:rsidR="00225AF2" w:rsidRDefault="23F84EBA" w:rsidP="3524BD2A">
      <w:pPr>
        <w:rPr>
          <w:color w:val="333333"/>
        </w:rPr>
      </w:pPr>
      <w:r w:rsidRPr="3524BD2A">
        <w:rPr>
          <w:color w:val="333333"/>
        </w:rPr>
        <w:t xml:space="preserve">The 2023 Census collected phone numbers so that people could be contacted if selected for the HDS. Contact details collected in the Census were reviewed in preparation for fieldwork and any obvious scanning errors or typos corrected. Five people were removed from the sample during this review process because they had not provided enough of their name on the </w:t>
      </w:r>
      <w:r w:rsidR="0F319927" w:rsidRPr="3524BD2A">
        <w:rPr>
          <w:color w:val="333333"/>
        </w:rPr>
        <w:t xml:space="preserve">2023 </w:t>
      </w:r>
      <w:r w:rsidRPr="3524BD2A">
        <w:rPr>
          <w:color w:val="333333"/>
        </w:rPr>
        <w:t xml:space="preserve">Census form for them to be identified by interviewers. </w:t>
      </w:r>
    </w:p>
    <w:p w14:paraId="45C89F21" w14:textId="5912D9FA" w:rsidR="00225AF2" w:rsidRDefault="23F84EBA" w:rsidP="3524BD2A">
      <w:pPr>
        <w:rPr>
          <w:color w:val="333333"/>
        </w:rPr>
      </w:pPr>
      <w:r w:rsidRPr="3524BD2A">
        <w:rPr>
          <w:color w:val="333333"/>
        </w:rPr>
        <w:t xml:space="preserve">Before being contacted by Stats NZ, a letter was sent to all sample members at the address they gave on their </w:t>
      </w:r>
      <w:r w:rsidR="0F319927" w:rsidRPr="3524BD2A">
        <w:rPr>
          <w:color w:val="333333"/>
        </w:rPr>
        <w:t xml:space="preserve">2023 </w:t>
      </w:r>
      <w:r w:rsidRPr="3524BD2A">
        <w:rPr>
          <w:color w:val="333333"/>
        </w:rPr>
        <w:t xml:space="preserve">Census form. The letter </w:t>
      </w:r>
      <w:r w:rsidR="131030EB" w:rsidRPr="3524BD2A">
        <w:rPr>
          <w:color w:val="333333"/>
        </w:rPr>
        <w:t>advised</w:t>
      </w:r>
      <w:r w:rsidRPr="3524BD2A">
        <w:rPr>
          <w:color w:val="333333"/>
        </w:rPr>
        <w:t xml:space="preserve"> that they’d been selected for the HDS and encouraged them to call Stats NZ to complete the survey or otherwise wait for Stats NZ to contact them. </w:t>
      </w:r>
    </w:p>
    <w:p w14:paraId="2E235257" w14:textId="32D8FD24" w:rsidR="0060618D" w:rsidRPr="001C3C2C" w:rsidRDefault="0060618D" w:rsidP="0060618D">
      <w:pPr>
        <w:rPr>
          <w:color w:val="333333"/>
        </w:rPr>
      </w:pPr>
      <w:r w:rsidRPr="001C3C2C">
        <w:rPr>
          <w:color w:val="333333"/>
        </w:rPr>
        <w:t xml:space="preserve">Of the 25,000 people </w:t>
      </w:r>
      <w:r w:rsidRPr="001C3C2C" w:rsidDel="00460F82">
        <w:rPr>
          <w:color w:val="333333"/>
        </w:rPr>
        <w:t xml:space="preserve">who were </w:t>
      </w:r>
      <w:r w:rsidRPr="001C3C2C">
        <w:rPr>
          <w:color w:val="333333"/>
        </w:rPr>
        <w:t>selected to be in the survey</w:t>
      </w:r>
      <w:r w:rsidR="00265166">
        <w:rPr>
          <w:color w:val="333333"/>
        </w:rPr>
        <w:t>,</w:t>
      </w:r>
      <w:r w:rsidRPr="001C3C2C">
        <w:rPr>
          <w:color w:val="333333"/>
        </w:rPr>
        <w:t xml:space="preserve"> 21,636 completed it</w:t>
      </w:r>
      <w:r>
        <w:rPr>
          <w:color w:val="333333"/>
        </w:rPr>
        <w:t xml:space="preserve">, a response rate of </w:t>
      </w:r>
      <w:r w:rsidRPr="001C3C2C">
        <w:rPr>
          <w:color w:val="333333"/>
        </w:rPr>
        <w:t>86.5 percent</w:t>
      </w:r>
      <w:r>
        <w:rPr>
          <w:color w:val="333333"/>
        </w:rPr>
        <w:t xml:space="preserve"> (higher than its target rate of 80 percent).</w:t>
      </w:r>
      <w:r w:rsidRPr="001C3C2C">
        <w:rPr>
          <w:color w:val="333333"/>
        </w:rPr>
        <w:t xml:space="preserve"> </w:t>
      </w:r>
    </w:p>
    <w:p w14:paraId="75CE59F2" w14:textId="77777777" w:rsidR="007D44F1" w:rsidRDefault="5524EEA8">
      <w:pPr>
        <w:rPr>
          <w:rFonts w:cstheme="minorBidi"/>
          <w:color w:val="333333"/>
        </w:rPr>
      </w:pPr>
      <w:r w:rsidRPr="27E631A4">
        <w:rPr>
          <w:rFonts w:cstheme="minorBidi"/>
          <w:color w:val="333333"/>
        </w:rPr>
        <w:t>Out of the 21,636 respondents, 3,757 were counted as disabled by the survey. This included</w:t>
      </w:r>
      <w:r w:rsidR="007D44F1">
        <w:rPr>
          <w:rFonts w:cstheme="minorBidi"/>
          <w:color w:val="333333"/>
        </w:rPr>
        <w:t>:</w:t>
      </w:r>
    </w:p>
    <w:p w14:paraId="07ECE743" w14:textId="0809512A" w:rsidR="007D44F1" w:rsidRPr="00B52970" w:rsidRDefault="5524EEA8" w:rsidP="3524BD2A">
      <w:pPr>
        <w:pStyle w:val="ListParagraph"/>
        <w:numPr>
          <w:ilvl w:val="0"/>
          <w:numId w:val="42"/>
        </w:numPr>
        <w:rPr>
          <w:rFonts w:cstheme="minorBidi"/>
          <w:color w:val="333333"/>
        </w:rPr>
      </w:pPr>
      <w:r w:rsidRPr="3524BD2A">
        <w:rPr>
          <w:rFonts w:cstheme="minorBidi"/>
          <w:color w:val="333333"/>
        </w:rPr>
        <w:t xml:space="preserve">927 </w:t>
      </w:r>
      <w:r w:rsidR="002A5BF4" w:rsidRPr="3524BD2A">
        <w:rPr>
          <w:rFonts w:cstheme="minorBidi"/>
          <w:color w:val="333333"/>
        </w:rPr>
        <w:t>t</w:t>
      </w:r>
      <w:r w:rsidRPr="3524BD2A">
        <w:rPr>
          <w:rFonts w:cstheme="minorBidi"/>
          <w:color w:val="333333"/>
        </w:rPr>
        <w:t xml:space="preserve">āngata </w:t>
      </w:r>
      <w:proofErr w:type="spellStart"/>
      <w:r w:rsidR="002A5BF4" w:rsidRPr="3524BD2A">
        <w:rPr>
          <w:rFonts w:cstheme="minorBidi"/>
          <w:color w:val="333333"/>
        </w:rPr>
        <w:t>w</w:t>
      </w:r>
      <w:r w:rsidRPr="3524BD2A">
        <w:rPr>
          <w:rFonts w:cstheme="minorBidi"/>
          <w:color w:val="333333"/>
        </w:rPr>
        <w:t>haikaha</w:t>
      </w:r>
      <w:proofErr w:type="spellEnd"/>
      <w:r w:rsidRPr="3524BD2A">
        <w:rPr>
          <w:rFonts w:cstheme="minorBidi"/>
          <w:color w:val="333333"/>
        </w:rPr>
        <w:t xml:space="preserve"> Māori (Māori disabled people</w:t>
      </w:r>
      <w:r w:rsidR="007D44F1" w:rsidRPr="3524BD2A">
        <w:rPr>
          <w:rFonts w:cstheme="minorBidi"/>
          <w:color w:val="333333"/>
        </w:rPr>
        <w:t>)</w:t>
      </w:r>
    </w:p>
    <w:p w14:paraId="6908F64F" w14:textId="30730C5E" w:rsidR="007D44F1" w:rsidRPr="00B52970" w:rsidRDefault="5524EEA8" w:rsidP="00931DE8">
      <w:pPr>
        <w:pStyle w:val="ListParagraph"/>
        <w:numPr>
          <w:ilvl w:val="0"/>
          <w:numId w:val="42"/>
        </w:numPr>
        <w:rPr>
          <w:rFonts w:cstheme="minorBidi"/>
          <w:color w:val="333333"/>
        </w:rPr>
      </w:pPr>
      <w:r w:rsidRPr="001A5246">
        <w:rPr>
          <w:rFonts w:cstheme="minorBidi"/>
          <w:color w:val="333333"/>
        </w:rPr>
        <w:t>411 Pacific disabled people</w:t>
      </w:r>
    </w:p>
    <w:p w14:paraId="317DE725" w14:textId="70DAA07B" w:rsidR="007D44F1" w:rsidRPr="00B52970" w:rsidRDefault="0D8B3994" w:rsidP="00931DE8">
      <w:pPr>
        <w:pStyle w:val="ListParagraph"/>
        <w:numPr>
          <w:ilvl w:val="0"/>
          <w:numId w:val="42"/>
        </w:numPr>
        <w:rPr>
          <w:rFonts w:cstheme="minorBidi"/>
          <w:color w:val="333333"/>
        </w:rPr>
      </w:pPr>
      <w:r w:rsidRPr="001A5246">
        <w:rPr>
          <w:rFonts w:cstheme="minorBidi"/>
          <w:color w:val="333333"/>
        </w:rPr>
        <w:t>352 Asian disabled people</w:t>
      </w:r>
    </w:p>
    <w:p w14:paraId="2EAE079A" w14:textId="4816E5E2" w:rsidR="007D44F1" w:rsidRPr="00B52970" w:rsidRDefault="0D8B3994" w:rsidP="00931DE8">
      <w:pPr>
        <w:pStyle w:val="ListParagraph"/>
        <w:numPr>
          <w:ilvl w:val="0"/>
          <w:numId w:val="42"/>
        </w:numPr>
        <w:rPr>
          <w:rFonts w:cstheme="minorBidi"/>
          <w:color w:val="333333"/>
        </w:rPr>
      </w:pPr>
      <w:r w:rsidRPr="001A5246">
        <w:rPr>
          <w:rFonts w:cstheme="minorBidi"/>
          <w:color w:val="333333"/>
        </w:rPr>
        <w:t>237 LGBTIQ+ disabled people</w:t>
      </w:r>
      <w:r w:rsidR="5524EEA8" w:rsidRPr="001A5246">
        <w:rPr>
          <w:rFonts w:cstheme="minorBidi"/>
          <w:color w:val="333333"/>
        </w:rPr>
        <w:t xml:space="preserve">. </w:t>
      </w:r>
    </w:p>
    <w:p w14:paraId="0D0FBBFC" w14:textId="133D4B79" w:rsidR="00405836" w:rsidRDefault="5524EEA8" w:rsidP="00B52970">
      <w:pPr>
        <w:rPr>
          <w:rFonts w:eastAsiaTheme="majorEastAsia" w:cstheme="majorBidi"/>
          <w:bCs/>
          <w:noProof/>
          <w:color w:val="4E5B61"/>
          <w:sz w:val="40"/>
          <w:szCs w:val="28"/>
          <w:lang w:eastAsia="en-NZ"/>
        </w:rPr>
      </w:pPr>
      <w:r w:rsidRPr="27E631A4">
        <w:rPr>
          <w:rFonts w:cstheme="minorBidi"/>
          <w:color w:val="333333"/>
        </w:rPr>
        <w:t xml:space="preserve">There were 1,085 disabled children and 2,672 disabled adults in the achieved sample. </w:t>
      </w:r>
      <w:bookmarkStart w:id="208" w:name="_Toc187762904"/>
      <w:bookmarkStart w:id="209" w:name="_Toc187763586"/>
      <w:bookmarkStart w:id="210" w:name="_Toc187763865"/>
      <w:r w:rsidR="00405836">
        <w:br w:type="page"/>
      </w:r>
    </w:p>
    <w:p w14:paraId="0C37F444" w14:textId="0615CABF" w:rsidR="00841187" w:rsidRDefault="00841187" w:rsidP="00841187">
      <w:pPr>
        <w:pStyle w:val="Heading1"/>
      </w:pPr>
      <w:bookmarkStart w:id="211" w:name="_Toc190856868"/>
      <w:r>
        <w:t xml:space="preserve">8. </w:t>
      </w:r>
      <w:r w:rsidR="00E21C03">
        <w:t xml:space="preserve">Use of </w:t>
      </w:r>
      <w:r w:rsidR="00D70A73">
        <w:t>C</w:t>
      </w:r>
      <w:r w:rsidR="00E21C03">
        <w:t>ensus data</w:t>
      </w:r>
      <w:bookmarkEnd w:id="208"/>
      <w:bookmarkEnd w:id="209"/>
      <w:bookmarkEnd w:id="210"/>
      <w:bookmarkEnd w:id="211"/>
    </w:p>
    <w:p w14:paraId="751DE501" w14:textId="1926B182" w:rsidR="00C7703F" w:rsidRPr="001C3C2C" w:rsidRDefault="4293DE74" w:rsidP="3524BD2A">
      <w:pPr>
        <w:rPr>
          <w:color w:val="333333"/>
        </w:rPr>
      </w:pPr>
      <w:r w:rsidRPr="3524BD2A">
        <w:rPr>
          <w:color w:val="333333"/>
        </w:rPr>
        <w:t xml:space="preserve">In addition to using </w:t>
      </w:r>
      <w:r w:rsidR="3FC8287E" w:rsidRPr="3524BD2A">
        <w:rPr>
          <w:color w:val="333333"/>
        </w:rPr>
        <w:t>contact details provided during</w:t>
      </w:r>
      <w:r w:rsidR="2D9A856F" w:rsidRPr="3524BD2A">
        <w:rPr>
          <w:color w:val="333333"/>
        </w:rPr>
        <w:t xml:space="preserve"> the 2023</w:t>
      </w:r>
      <w:r w:rsidR="3FC8287E" w:rsidRPr="3524BD2A">
        <w:rPr>
          <w:color w:val="333333"/>
        </w:rPr>
        <w:t xml:space="preserve"> Census</w:t>
      </w:r>
      <w:r w:rsidR="2D9A856F" w:rsidRPr="3524BD2A">
        <w:rPr>
          <w:color w:val="333333"/>
        </w:rPr>
        <w:t>, t</w:t>
      </w:r>
      <w:r w:rsidR="75FA2C7B" w:rsidRPr="3524BD2A">
        <w:rPr>
          <w:color w:val="333333"/>
        </w:rPr>
        <w:t xml:space="preserve">he HDS used </w:t>
      </w:r>
      <w:r w:rsidR="1E93F8A4" w:rsidRPr="3524BD2A">
        <w:rPr>
          <w:color w:val="333333"/>
        </w:rPr>
        <w:t>other</w:t>
      </w:r>
      <w:r w:rsidR="2D9A856F" w:rsidRPr="3524BD2A">
        <w:rPr>
          <w:color w:val="333333"/>
        </w:rPr>
        <w:t xml:space="preserve"> </w:t>
      </w:r>
      <w:r w:rsidR="75FA2C7B" w:rsidRPr="3524BD2A">
        <w:rPr>
          <w:color w:val="333333"/>
        </w:rPr>
        <w:t xml:space="preserve">data from </w:t>
      </w:r>
      <w:r w:rsidR="361BE8DE" w:rsidRPr="3524BD2A">
        <w:rPr>
          <w:color w:val="333333"/>
        </w:rPr>
        <w:t>c</w:t>
      </w:r>
      <w:r w:rsidR="75FA2C7B" w:rsidRPr="3524BD2A">
        <w:rPr>
          <w:color w:val="333333"/>
        </w:rPr>
        <w:t xml:space="preserve">ensus. Census collected information about the personal characteristics of respondents and about their living situation. If a question had already been asked in the </w:t>
      </w:r>
      <w:r w:rsidR="15FF7A79" w:rsidRPr="3524BD2A">
        <w:rPr>
          <w:color w:val="333333"/>
        </w:rPr>
        <w:t xml:space="preserve">2023 </w:t>
      </w:r>
      <w:r w:rsidR="75FA2C7B" w:rsidRPr="3524BD2A">
        <w:rPr>
          <w:color w:val="333333"/>
        </w:rPr>
        <w:t xml:space="preserve">Census, it was not included in the HDS. Instead, </w:t>
      </w:r>
      <w:r w:rsidR="15FF7A79" w:rsidRPr="3524BD2A">
        <w:rPr>
          <w:color w:val="333333"/>
        </w:rPr>
        <w:t xml:space="preserve">2023 </w:t>
      </w:r>
      <w:r w:rsidR="75FA2C7B" w:rsidRPr="3524BD2A">
        <w:rPr>
          <w:color w:val="333333"/>
        </w:rPr>
        <w:t xml:space="preserve">Census records for each HDS respondent were attached to their HDS record, creating a dataset made up of both </w:t>
      </w:r>
      <w:r w:rsidR="726FB66D" w:rsidRPr="3524BD2A">
        <w:rPr>
          <w:color w:val="333333"/>
        </w:rPr>
        <w:t xml:space="preserve">2023 </w:t>
      </w:r>
      <w:r w:rsidR="75FA2C7B" w:rsidRPr="3524BD2A">
        <w:rPr>
          <w:color w:val="333333"/>
        </w:rPr>
        <w:t xml:space="preserve">Census and HDS data. Utilising </w:t>
      </w:r>
      <w:r w:rsidR="726FB66D" w:rsidRPr="3524BD2A">
        <w:rPr>
          <w:color w:val="333333"/>
        </w:rPr>
        <w:t xml:space="preserve">2023 </w:t>
      </w:r>
      <w:r w:rsidR="75FA2C7B" w:rsidRPr="3524BD2A">
        <w:rPr>
          <w:color w:val="333333"/>
        </w:rPr>
        <w:t>Census data in this way reduced respondent burden (</w:t>
      </w:r>
      <w:r w:rsidR="2EC57168" w:rsidRPr="3524BD2A">
        <w:rPr>
          <w:color w:val="333333"/>
        </w:rPr>
        <w:t xml:space="preserve">because </w:t>
      </w:r>
      <w:r w:rsidR="75FA2C7B" w:rsidRPr="3524BD2A">
        <w:rPr>
          <w:color w:val="333333"/>
        </w:rPr>
        <w:t xml:space="preserve">respondents did not have to repeat </w:t>
      </w:r>
      <w:proofErr w:type="gramStart"/>
      <w:r w:rsidR="75FA2C7B" w:rsidRPr="3524BD2A">
        <w:rPr>
          <w:color w:val="333333"/>
        </w:rPr>
        <w:t>answers</w:t>
      </w:r>
      <w:proofErr w:type="gramEnd"/>
      <w:r w:rsidR="75FA2C7B" w:rsidRPr="3524BD2A">
        <w:rPr>
          <w:color w:val="333333"/>
        </w:rPr>
        <w:t xml:space="preserve"> they had already given a few months earlier on their </w:t>
      </w:r>
      <w:r w:rsidR="726FB66D" w:rsidRPr="3524BD2A">
        <w:rPr>
          <w:color w:val="333333"/>
        </w:rPr>
        <w:t>c</w:t>
      </w:r>
      <w:r w:rsidR="75FA2C7B" w:rsidRPr="3524BD2A">
        <w:rPr>
          <w:color w:val="333333"/>
        </w:rPr>
        <w:t xml:space="preserve">ensus form) and freed up space in the HDS to collect new information. </w:t>
      </w:r>
    </w:p>
    <w:p w14:paraId="16E75565" w14:textId="0A8483FC" w:rsidR="00C7703F" w:rsidRPr="001C3C2C" w:rsidRDefault="00721E0E" w:rsidP="00C7703F">
      <w:pPr>
        <w:rPr>
          <w:color w:val="333333"/>
        </w:rPr>
      </w:pPr>
      <w:r>
        <w:rPr>
          <w:color w:val="333333"/>
        </w:rPr>
        <w:t xml:space="preserve">2023 </w:t>
      </w:r>
      <w:r w:rsidR="001F0985">
        <w:rPr>
          <w:color w:val="333333"/>
        </w:rPr>
        <w:t xml:space="preserve">Census </w:t>
      </w:r>
      <w:r w:rsidR="00C7703F" w:rsidRPr="001C3C2C">
        <w:rPr>
          <w:color w:val="333333"/>
        </w:rPr>
        <w:t xml:space="preserve">records were linked </w:t>
      </w:r>
      <w:r w:rsidR="004B4AC0">
        <w:rPr>
          <w:color w:val="333333"/>
        </w:rPr>
        <w:t xml:space="preserve">to HDS responses </w:t>
      </w:r>
      <w:r w:rsidR="00C7703F" w:rsidRPr="001C3C2C">
        <w:rPr>
          <w:color w:val="333333"/>
        </w:rPr>
        <w:t>using unique ID numbers that were assigned to individuals and dwelling</w:t>
      </w:r>
      <w:r w:rsidR="004B4AC0">
        <w:rPr>
          <w:color w:val="333333"/>
        </w:rPr>
        <w:t>s</w:t>
      </w:r>
      <w:r w:rsidR="00C7703F" w:rsidRPr="001C3C2C">
        <w:rPr>
          <w:color w:val="333333"/>
        </w:rPr>
        <w:t xml:space="preserve"> during </w:t>
      </w:r>
      <w:r w:rsidR="00744409">
        <w:rPr>
          <w:color w:val="333333"/>
        </w:rPr>
        <w:t>c</w:t>
      </w:r>
      <w:r w:rsidR="00C7703F" w:rsidRPr="001C3C2C">
        <w:rPr>
          <w:color w:val="333333"/>
        </w:rPr>
        <w:t>ensus. Only this ID number was used</w:t>
      </w:r>
      <w:r w:rsidR="007D27E4">
        <w:rPr>
          <w:color w:val="333333"/>
        </w:rPr>
        <w:t>. N</w:t>
      </w:r>
      <w:r w:rsidR="00C7703F" w:rsidRPr="001C3C2C">
        <w:rPr>
          <w:color w:val="333333"/>
        </w:rPr>
        <w:t>o identifiable information about respondents</w:t>
      </w:r>
      <w:r w:rsidR="007D27E4">
        <w:rPr>
          <w:color w:val="333333"/>
        </w:rPr>
        <w:t>,</w:t>
      </w:r>
      <w:r w:rsidR="00C7703F" w:rsidRPr="001C3C2C">
        <w:rPr>
          <w:color w:val="333333"/>
        </w:rPr>
        <w:t xml:space="preserve"> such as their names and addresses</w:t>
      </w:r>
      <w:r w:rsidR="007D27E4">
        <w:rPr>
          <w:color w:val="333333"/>
        </w:rPr>
        <w:t>,</w:t>
      </w:r>
      <w:r w:rsidR="00C7703F" w:rsidRPr="001C3C2C">
        <w:rPr>
          <w:color w:val="333333"/>
        </w:rPr>
        <w:t xml:space="preserve"> were used for the linking. </w:t>
      </w:r>
    </w:p>
    <w:p w14:paraId="616092C9" w14:textId="1E1A3504" w:rsidR="00E476BB" w:rsidRDefault="00C7703F" w:rsidP="00C7703F">
      <w:pPr>
        <w:rPr>
          <w:color w:val="333333"/>
        </w:rPr>
      </w:pPr>
      <w:r w:rsidRPr="001C3C2C">
        <w:rPr>
          <w:color w:val="333333"/>
        </w:rPr>
        <w:t xml:space="preserve">The following variables from the </w:t>
      </w:r>
      <w:r w:rsidR="00B81701">
        <w:rPr>
          <w:color w:val="333333"/>
        </w:rPr>
        <w:t xml:space="preserve">2023 </w:t>
      </w:r>
      <w:r w:rsidRPr="001C3C2C">
        <w:rPr>
          <w:color w:val="333333"/>
        </w:rPr>
        <w:t xml:space="preserve">Census were used with HDS data in the </w:t>
      </w:r>
      <w:r w:rsidR="00183991">
        <w:rPr>
          <w:color w:val="333333"/>
        </w:rPr>
        <w:t>Excel tables</w:t>
      </w:r>
      <w:r w:rsidR="00233136">
        <w:rPr>
          <w:color w:val="333333"/>
        </w:rPr>
        <w:t xml:space="preserve"> available </w:t>
      </w:r>
      <w:r w:rsidR="009F72AD">
        <w:rPr>
          <w:color w:val="333333"/>
        </w:rPr>
        <w:t>in</w:t>
      </w:r>
      <w:r w:rsidR="00547D76">
        <w:rPr>
          <w:color w:val="333333"/>
        </w:rPr>
        <w:t xml:space="preserve"> </w:t>
      </w:r>
      <w:hyperlink r:id="rId53" w:history="1">
        <w:r w:rsidR="00547D76" w:rsidRPr="00D2238A">
          <w:rPr>
            <w:rStyle w:val="Hyperlink"/>
            <w:rFonts w:ascii="Calibri" w:hAnsi="Calibri"/>
          </w:rPr>
          <w:t>Disability statistics: 2023</w:t>
        </w:r>
      </w:hyperlink>
      <w:r>
        <w:rPr>
          <w:color w:val="333333"/>
        </w:rPr>
        <w:t>:</w:t>
      </w:r>
      <w:r w:rsidR="00A02E1C">
        <w:rPr>
          <w:color w:val="333333"/>
        </w:rPr>
        <w:t xml:space="preserve"> </w:t>
      </w:r>
    </w:p>
    <w:p w14:paraId="1B0FC3A9" w14:textId="11137C1B" w:rsidR="00E476BB" w:rsidRPr="00C04569" w:rsidRDefault="008C49E1" w:rsidP="00C04569">
      <w:pPr>
        <w:pStyle w:val="ListParagraph"/>
        <w:numPr>
          <w:ilvl w:val="0"/>
          <w:numId w:val="43"/>
        </w:numPr>
        <w:rPr>
          <w:color w:val="333333"/>
        </w:rPr>
      </w:pPr>
      <w:r>
        <w:rPr>
          <w:color w:val="333333"/>
        </w:rPr>
        <w:t>e</w:t>
      </w:r>
      <w:r w:rsidR="00C7703F" w:rsidRPr="001A5246">
        <w:rPr>
          <w:color w:val="333333"/>
        </w:rPr>
        <w:t>thnic group</w:t>
      </w:r>
    </w:p>
    <w:p w14:paraId="3B0B450E" w14:textId="63FFE3B7" w:rsidR="00E476BB" w:rsidRPr="00C04569" w:rsidRDefault="00C7703F" w:rsidP="00C04569">
      <w:pPr>
        <w:pStyle w:val="ListParagraph"/>
        <w:numPr>
          <w:ilvl w:val="0"/>
          <w:numId w:val="43"/>
        </w:numPr>
        <w:rPr>
          <w:color w:val="333333"/>
        </w:rPr>
      </w:pPr>
      <w:r w:rsidRPr="001A5246">
        <w:rPr>
          <w:color w:val="333333"/>
        </w:rPr>
        <w:t>LGBTIQ+ status</w:t>
      </w:r>
    </w:p>
    <w:p w14:paraId="0437B149" w14:textId="56642281" w:rsidR="00E476BB" w:rsidRPr="00C04569" w:rsidRDefault="00C7703F" w:rsidP="00C04569">
      <w:pPr>
        <w:pStyle w:val="ListParagraph"/>
        <w:numPr>
          <w:ilvl w:val="0"/>
          <w:numId w:val="43"/>
        </w:numPr>
        <w:rPr>
          <w:color w:val="333333"/>
        </w:rPr>
      </w:pPr>
      <w:r w:rsidRPr="001A5246">
        <w:rPr>
          <w:color w:val="333333"/>
        </w:rPr>
        <w:t>region in which they live</w:t>
      </w:r>
    </w:p>
    <w:p w14:paraId="7D9193BA" w14:textId="2DA6083E" w:rsidR="00E476BB" w:rsidRPr="00C04569" w:rsidRDefault="00C7703F" w:rsidP="00C04569">
      <w:pPr>
        <w:pStyle w:val="ListParagraph"/>
        <w:numPr>
          <w:ilvl w:val="0"/>
          <w:numId w:val="43"/>
        </w:numPr>
        <w:rPr>
          <w:color w:val="333333"/>
        </w:rPr>
      </w:pPr>
      <w:r w:rsidRPr="001A5246">
        <w:rPr>
          <w:color w:val="333333"/>
        </w:rPr>
        <w:t>personal income</w:t>
      </w:r>
    </w:p>
    <w:p w14:paraId="71D9B765" w14:textId="55970A6A" w:rsidR="00E476BB" w:rsidRPr="00C04569" w:rsidRDefault="00C7703F" w:rsidP="00C04569">
      <w:pPr>
        <w:pStyle w:val="ListParagraph"/>
        <w:numPr>
          <w:ilvl w:val="0"/>
          <w:numId w:val="43"/>
        </w:numPr>
        <w:rPr>
          <w:color w:val="333333"/>
        </w:rPr>
      </w:pPr>
      <w:r w:rsidRPr="001A5246">
        <w:rPr>
          <w:color w:val="333333"/>
        </w:rPr>
        <w:t>occupation and industry of employment</w:t>
      </w:r>
    </w:p>
    <w:p w14:paraId="24965EA9" w14:textId="1E7760D2" w:rsidR="00E476BB" w:rsidRPr="00C04569" w:rsidRDefault="00C7703F" w:rsidP="00C04569">
      <w:pPr>
        <w:pStyle w:val="ListParagraph"/>
        <w:numPr>
          <w:ilvl w:val="0"/>
          <w:numId w:val="43"/>
        </w:numPr>
        <w:rPr>
          <w:color w:val="333333"/>
        </w:rPr>
      </w:pPr>
      <w:r w:rsidRPr="001A5246">
        <w:rPr>
          <w:color w:val="333333"/>
        </w:rPr>
        <w:t>participation in unpaid work</w:t>
      </w:r>
    </w:p>
    <w:p w14:paraId="0C2611D1" w14:textId="64CA29BC" w:rsidR="00E476BB" w:rsidRPr="00C04569" w:rsidRDefault="00C7703F" w:rsidP="00C04569">
      <w:pPr>
        <w:pStyle w:val="ListParagraph"/>
        <w:numPr>
          <w:ilvl w:val="0"/>
          <w:numId w:val="43"/>
        </w:numPr>
        <w:rPr>
          <w:color w:val="333333"/>
        </w:rPr>
      </w:pPr>
      <w:r w:rsidRPr="001A5246">
        <w:rPr>
          <w:color w:val="333333"/>
        </w:rPr>
        <w:t>highest qualification held</w:t>
      </w:r>
    </w:p>
    <w:p w14:paraId="489B3348" w14:textId="3F80B9E4" w:rsidR="00E476BB" w:rsidRPr="00C04569" w:rsidRDefault="00C7703F" w:rsidP="00C04569">
      <w:pPr>
        <w:pStyle w:val="ListParagraph"/>
        <w:numPr>
          <w:ilvl w:val="0"/>
          <w:numId w:val="43"/>
        </w:numPr>
        <w:rPr>
          <w:color w:val="333333"/>
        </w:rPr>
      </w:pPr>
      <w:r w:rsidRPr="001A5246">
        <w:rPr>
          <w:color w:val="333333"/>
        </w:rPr>
        <w:t>main mode of transport to work or study</w:t>
      </w:r>
    </w:p>
    <w:p w14:paraId="65FF6071" w14:textId="125FD049" w:rsidR="00E476BB" w:rsidRPr="00C04569" w:rsidRDefault="00C7703F" w:rsidP="00C04569">
      <w:pPr>
        <w:pStyle w:val="ListParagraph"/>
        <w:numPr>
          <w:ilvl w:val="0"/>
          <w:numId w:val="43"/>
        </w:numPr>
        <w:rPr>
          <w:color w:val="333333"/>
        </w:rPr>
      </w:pPr>
      <w:r w:rsidRPr="001A5246">
        <w:rPr>
          <w:color w:val="333333"/>
        </w:rPr>
        <w:t>household income</w:t>
      </w:r>
    </w:p>
    <w:p w14:paraId="2B2DA623" w14:textId="7A7D2A16" w:rsidR="00E476BB" w:rsidRPr="00C04569" w:rsidRDefault="00C7703F" w:rsidP="00C04569">
      <w:pPr>
        <w:pStyle w:val="ListParagraph"/>
        <w:numPr>
          <w:ilvl w:val="0"/>
          <w:numId w:val="43"/>
        </w:numPr>
        <w:rPr>
          <w:color w:val="333333"/>
        </w:rPr>
      </w:pPr>
      <w:r w:rsidRPr="001A5246">
        <w:rPr>
          <w:color w:val="333333"/>
        </w:rPr>
        <w:t>tenure of current home</w:t>
      </w:r>
    </w:p>
    <w:p w14:paraId="2B9E6C9A" w14:textId="16761C4F" w:rsidR="00E476BB" w:rsidRPr="00C04569" w:rsidRDefault="00C7703F" w:rsidP="00C04569">
      <w:pPr>
        <w:pStyle w:val="ListParagraph"/>
        <w:numPr>
          <w:ilvl w:val="0"/>
          <w:numId w:val="43"/>
        </w:numPr>
        <w:rPr>
          <w:color w:val="333333"/>
        </w:rPr>
      </w:pPr>
      <w:r w:rsidRPr="001A5246">
        <w:rPr>
          <w:color w:val="333333"/>
        </w:rPr>
        <w:t>dampness in home</w:t>
      </w:r>
    </w:p>
    <w:p w14:paraId="16709A79" w14:textId="4A1F723D" w:rsidR="00E476BB" w:rsidRPr="00C04569" w:rsidRDefault="00C7703F" w:rsidP="00C04569">
      <w:pPr>
        <w:pStyle w:val="ListParagraph"/>
        <w:numPr>
          <w:ilvl w:val="0"/>
          <w:numId w:val="43"/>
        </w:numPr>
        <w:rPr>
          <w:color w:val="333333"/>
        </w:rPr>
      </w:pPr>
      <w:r w:rsidRPr="001A5246">
        <w:rPr>
          <w:color w:val="333333"/>
        </w:rPr>
        <w:t>mould in home</w:t>
      </w:r>
    </w:p>
    <w:p w14:paraId="52997026" w14:textId="41B9B574" w:rsidR="00E476BB" w:rsidRPr="00C04569" w:rsidRDefault="00C7703F" w:rsidP="00C04569">
      <w:pPr>
        <w:pStyle w:val="ListParagraph"/>
        <w:numPr>
          <w:ilvl w:val="0"/>
          <w:numId w:val="43"/>
        </w:numPr>
        <w:rPr>
          <w:color w:val="333333"/>
        </w:rPr>
      </w:pPr>
      <w:r w:rsidRPr="001A5246">
        <w:rPr>
          <w:color w:val="333333"/>
        </w:rPr>
        <w:t>heating sources in home</w:t>
      </w:r>
    </w:p>
    <w:p w14:paraId="1EFF74EF" w14:textId="6357BAB5" w:rsidR="00E476BB" w:rsidRPr="00C04569" w:rsidRDefault="00C7703F" w:rsidP="00C04569">
      <w:pPr>
        <w:pStyle w:val="ListParagraph"/>
        <w:numPr>
          <w:ilvl w:val="0"/>
          <w:numId w:val="43"/>
        </w:numPr>
        <w:rPr>
          <w:color w:val="333333"/>
        </w:rPr>
      </w:pPr>
      <w:r w:rsidRPr="001A5246">
        <w:rPr>
          <w:color w:val="333333"/>
        </w:rPr>
        <w:t>access to basic amenities in home</w:t>
      </w:r>
    </w:p>
    <w:p w14:paraId="08AAD830" w14:textId="524D1976" w:rsidR="00E476BB" w:rsidRPr="00C04569" w:rsidRDefault="00C7703F" w:rsidP="00C04569">
      <w:pPr>
        <w:pStyle w:val="ListParagraph"/>
        <w:numPr>
          <w:ilvl w:val="0"/>
          <w:numId w:val="43"/>
        </w:numPr>
        <w:rPr>
          <w:color w:val="333333"/>
        </w:rPr>
      </w:pPr>
      <w:r w:rsidRPr="001A5246">
        <w:rPr>
          <w:color w:val="333333"/>
        </w:rPr>
        <w:t xml:space="preserve">access to telecommunications in home </w:t>
      </w:r>
    </w:p>
    <w:p w14:paraId="43C3CB3F" w14:textId="3A0FBBF7" w:rsidR="00C7703F" w:rsidRPr="001A5246" w:rsidRDefault="00C7703F" w:rsidP="00C04569">
      <w:pPr>
        <w:pStyle w:val="ListParagraph"/>
        <w:numPr>
          <w:ilvl w:val="0"/>
          <w:numId w:val="43"/>
        </w:numPr>
        <w:rPr>
          <w:color w:val="333333"/>
        </w:rPr>
      </w:pPr>
      <w:r w:rsidRPr="001A5246">
        <w:rPr>
          <w:color w:val="333333"/>
        </w:rPr>
        <w:t>number of motor vehicles available to the household.</w:t>
      </w:r>
    </w:p>
    <w:p w14:paraId="6F530C64" w14:textId="189E8280" w:rsidR="00964F89" w:rsidRDefault="75FA2C7B" w:rsidP="3524BD2A">
      <w:pPr>
        <w:rPr>
          <w:color w:val="333333"/>
        </w:rPr>
      </w:pPr>
      <w:r w:rsidRPr="3524BD2A">
        <w:rPr>
          <w:color w:val="333333"/>
        </w:rPr>
        <w:t xml:space="preserve">Data from </w:t>
      </w:r>
      <w:r w:rsidR="299C6D81" w:rsidRPr="3524BD2A">
        <w:rPr>
          <w:color w:val="333333"/>
        </w:rPr>
        <w:t xml:space="preserve">2023 </w:t>
      </w:r>
      <w:r w:rsidRPr="3524BD2A">
        <w:rPr>
          <w:color w:val="333333"/>
        </w:rPr>
        <w:t>Census is subject to any quality issues identified in that data collection.</w:t>
      </w:r>
      <w:r w:rsidR="5D3B6FF3" w:rsidRPr="3524BD2A">
        <w:rPr>
          <w:color w:val="333333"/>
        </w:rPr>
        <w:t xml:space="preserve"> </w:t>
      </w:r>
    </w:p>
    <w:p w14:paraId="4A40EDED" w14:textId="5B84456E" w:rsidR="00841187" w:rsidRPr="00C7703F" w:rsidRDefault="00C7703F" w:rsidP="00C7703F">
      <w:pPr>
        <w:rPr>
          <w:color w:val="333333"/>
        </w:rPr>
      </w:pPr>
      <w:hyperlink r:id="rId54">
        <w:r w:rsidRPr="6C7481EF">
          <w:rPr>
            <w:rStyle w:val="Hyperlink"/>
          </w:rPr>
          <w:t>2023 Census of Population and Dwellings – Information by concepts</w:t>
        </w:r>
      </w:hyperlink>
      <w:r w:rsidRPr="6C7481EF">
        <w:rPr>
          <w:color w:val="333333"/>
        </w:rPr>
        <w:t xml:space="preserve"> and </w:t>
      </w:r>
      <w:hyperlink r:id="rId55">
        <w:r w:rsidRPr="6C7481EF">
          <w:rPr>
            <w:rStyle w:val="Hyperlink"/>
          </w:rPr>
          <w:t>Data quality ratings for 2023 Census variables</w:t>
        </w:r>
      </w:hyperlink>
      <w:r w:rsidRPr="6C7481EF">
        <w:rPr>
          <w:color w:val="333333"/>
        </w:rPr>
        <w:t xml:space="preserve"> </w:t>
      </w:r>
      <w:r w:rsidR="00B81701" w:rsidRPr="6C7481EF">
        <w:rPr>
          <w:color w:val="333333"/>
        </w:rPr>
        <w:t xml:space="preserve">have </w:t>
      </w:r>
      <w:r w:rsidRPr="6C7481EF">
        <w:rPr>
          <w:color w:val="333333"/>
        </w:rPr>
        <w:t xml:space="preserve">more information on </w:t>
      </w:r>
      <w:r w:rsidR="008C3A38" w:rsidRPr="7774F244">
        <w:rPr>
          <w:color w:val="333333"/>
        </w:rPr>
        <w:t>c</w:t>
      </w:r>
      <w:r w:rsidRPr="7774F244">
        <w:rPr>
          <w:color w:val="333333"/>
        </w:rPr>
        <w:t>ensus</w:t>
      </w:r>
      <w:r w:rsidRPr="6C7481EF">
        <w:rPr>
          <w:color w:val="333333"/>
        </w:rPr>
        <w:t xml:space="preserve"> variables</w:t>
      </w:r>
      <w:r w:rsidR="00CB1A17">
        <w:rPr>
          <w:color w:val="333333"/>
        </w:rPr>
        <w:t xml:space="preserve"> and their quality</w:t>
      </w:r>
      <w:r w:rsidRPr="6C7481EF">
        <w:rPr>
          <w:color w:val="333333"/>
        </w:rPr>
        <w:t>.</w:t>
      </w:r>
      <w:r w:rsidR="00A02E1C" w:rsidRPr="6C7481EF">
        <w:rPr>
          <w:color w:val="333333"/>
        </w:rPr>
        <w:t xml:space="preserve"> </w:t>
      </w:r>
    </w:p>
    <w:p w14:paraId="7877EFFA" w14:textId="77777777" w:rsidR="00405836" w:rsidRDefault="00405836">
      <w:pPr>
        <w:spacing w:after="160" w:line="259" w:lineRule="auto"/>
        <w:rPr>
          <w:rFonts w:eastAsiaTheme="majorEastAsia" w:cstheme="majorBidi"/>
          <w:bCs/>
          <w:noProof/>
          <w:color w:val="4E5B61"/>
          <w:sz w:val="40"/>
          <w:szCs w:val="28"/>
          <w:lang w:eastAsia="en-NZ"/>
        </w:rPr>
      </w:pPr>
      <w:bookmarkStart w:id="212" w:name="_Toc187762905"/>
      <w:bookmarkStart w:id="213" w:name="_Toc187763587"/>
      <w:bookmarkStart w:id="214" w:name="_Toc187763866"/>
      <w:r>
        <w:br w:type="page"/>
      </w:r>
    </w:p>
    <w:p w14:paraId="2C583EE2" w14:textId="56899DCF" w:rsidR="00E21C03" w:rsidRDefault="00E21C03" w:rsidP="00E21C03">
      <w:pPr>
        <w:pStyle w:val="Heading1"/>
      </w:pPr>
      <w:bookmarkStart w:id="215" w:name="_Toc190856869"/>
      <w:r>
        <w:t>9. Presentation of estimates</w:t>
      </w:r>
      <w:bookmarkEnd w:id="212"/>
      <w:bookmarkEnd w:id="213"/>
      <w:bookmarkEnd w:id="214"/>
      <w:bookmarkEnd w:id="215"/>
    </w:p>
    <w:p w14:paraId="4CDE554B" w14:textId="0293ABC1" w:rsidR="0030393E" w:rsidRPr="001C3C2C" w:rsidRDefault="0030393E" w:rsidP="0030393E">
      <w:pPr>
        <w:rPr>
          <w:color w:val="333333"/>
        </w:rPr>
      </w:pPr>
      <w:r w:rsidRPr="001C3C2C">
        <w:rPr>
          <w:color w:val="333333"/>
        </w:rPr>
        <w:t>Like all sample surveys</w:t>
      </w:r>
      <w:r w:rsidR="00855CFB">
        <w:rPr>
          <w:color w:val="333333"/>
        </w:rPr>
        <w:t>,</w:t>
      </w:r>
      <w:r w:rsidRPr="001C3C2C">
        <w:rPr>
          <w:color w:val="333333"/>
        </w:rPr>
        <w:t xml:space="preserve"> the HDS estimates </w:t>
      </w:r>
      <w:r w:rsidRPr="001C3C2C" w:rsidDel="006F6690">
        <w:rPr>
          <w:color w:val="333333"/>
        </w:rPr>
        <w:t xml:space="preserve">are </w:t>
      </w:r>
      <w:r w:rsidRPr="001C3C2C">
        <w:rPr>
          <w:color w:val="333333"/>
        </w:rPr>
        <w:t xml:space="preserve">affected by both sampling error and non-sampling error. </w:t>
      </w:r>
    </w:p>
    <w:p w14:paraId="087B014E" w14:textId="460CFE4F" w:rsidR="0030393E" w:rsidRPr="001C3C2C" w:rsidRDefault="0030393E" w:rsidP="0030393E">
      <w:pPr>
        <w:rPr>
          <w:color w:val="333333"/>
        </w:rPr>
      </w:pPr>
      <w:r w:rsidRPr="001C3C2C">
        <w:rPr>
          <w:color w:val="333333"/>
        </w:rPr>
        <w:t xml:space="preserve">The effects </w:t>
      </w:r>
      <w:r w:rsidRPr="00D03141">
        <w:rPr>
          <w:color w:val="333333"/>
        </w:rPr>
        <w:t>of non-sampling error</w:t>
      </w:r>
      <w:r w:rsidRPr="001C3C2C">
        <w:rPr>
          <w:color w:val="333333"/>
        </w:rPr>
        <w:t xml:space="preserve"> are not quantifiable. </w:t>
      </w:r>
      <w:r w:rsidRPr="001C3C2C" w:rsidDel="00881A44">
        <w:rPr>
          <w:color w:val="333333"/>
        </w:rPr>
        <w:t>It</w:t>
      </w:r>
      <w:r w:rsidRPr="001C3C2C">
        <w:rPr>
          <w:color w:val="333333"/>
        </w:rPr>
        <w:t xml:space="preserve"> arise</w:t>
      </w:r>
      <w:r w:rsidRPr="001C3C2C" w:rsidDel="004B6F39">
        <w:rPr>
          <w:color w:val="333333"/>
        </w:rPr>
        <w:t>s</w:t>
      </w:r>
      <w:r w:rsidRPr="001C3C2C">
        <w:rPr>
          <w:color w:val="333333"/>
        </w:rPr>
        <w:t xml:space="preserve"> due to respondents or interviewers misinterpreting questions, respondents giving incorrect answers, or mistakes in the recording, collecting, coding</w:t>
      </w:r>
      <w:r w:rsidR="00CA4271">
        <w:rPr>
          <w:color w:val="333333"/>
        </w:rPr>
        <w:t>,</w:t>
      </w:r>
      <w:r w:rsidRPr="001C3C2C">
        <w:rPr>
          <w:color w:val="333333"/>
        </w:rPr>
        <w:t xml:space="preserve"> or processing of data. The impact </w:t>
      </w:r>
      <w:r w:rsidRPr="001C3C2C" w:rsidDel="004B6F39">
        <w:rPr>
          <w:color w:val="333333"/>
        </w:rPr>
        <w:t xml:space="preserve">of non-sampling errors </w:t>
      </w:r>
      <w:r w:rsidRPr="001C3C2C">
        <w:rPr>
          <w:color w:val="333333"/>
        </w:rPr>
        <w:t xml:space="preserve">is minimised by applying </w:t>
      </w:r>
      <w:r>
        <w:rPr>
          <w:color w:val="333333"/>
        </w:rPr>
        <w:t>good</w:t>
      </w:r>
      <w:r w:rsidRPr="001C3C2C">
        <w:rPr>
          <w:color w:val="333333"/>
        </w:rPr>
        <w:t xml:space="preserve"> survey </w:t>
      </w:r>
      <w:r>
        <w:rPr>
          <w:color w:val="333333"/>
        </w:rPr>
        <w:t>techniques</w:t>
      </w:r>
      <w:r w:rsidRPr="001C3C2C">
        <w:rPr>
          <w:color w:val="333333"/>
        </w:rPr>
        <w:t xml:space="preserve">. </w:t>
      </w:r>
      <w:r w:rsidRPr="001C3C2C">
        <w:rPr>
          <w:color w:val="333333"/>
        </w:rPr>
        <w:br/>
      </w:r>
      <w:r w:rsidRPr="001C3C2C">
        <w:rPr>
          <w:color w:val="333333"/>
        </w:rPr>
        <w:br/>
        <w:t>Sampling error can be estimated.</w:t>
      </w:r>
      <w:r w:rsidR="00A02E1C">
        <w:rPr>
          <w:color w:val="333333"/>
        </w:rPr>
        <w:t xml:space="preserve"> </w:t>
      </w:r>
      <w:r w:rsidRPr="001C3C2C">
        <w:rPr>
          <w:color w:val="333333"/>
        </w:rPr>
        <w:t>Th</w:t>
      </w:r>
      <w:r w:rsidR="00053507">
        <w:rPr>
          <w:color w:val="333333"/>
        </w:rPr>
        <w:t>e</w:t>
      </w:r>
      <w:r w:rsidRPr="001C3C2C">
        <w:rPr>
          <w:color w:val="333333"/>
        </w:rPr>
        <w:t xml:space="preserve"> estimate </w:t>
      </w:r>
      <w:r w:rsidR="00137021">
        <w:rPr>
          <w:color w:val="333333"/>
        </w:rPr>
        <w:t xml:space="preserve">is a measure of the </w:t>
      </w:r>
      <w:r w:rsidRPr="001C3C2C">
        <w:rPr>
          <w:color w:val="333333"/>
        </w:rPr>
        <w:t>variability that occurs by chance because a sample</w:t>
      </w:r>
      <w:r w:rsidR="00977CEA">
        <w:rPr>
          <w:color w:val="333333"/>
        </w:rPr>
        <w:t>,</w:t>
      </w:r>
      <w:r w:rsidRPr="001C3C2C">
        <w:rPr>
          <w:color w:val="333333"/>
        </w:rPr>
        <w:t xml:space="preserve"> rather than an entire population</w:t>
      </w:r>
      <w:r w:rsidR="00977CEA">
        <w:rPr>
          <w:color w:val="333333"/>
        </w:rPr>
        <w:t>,</w:t>
      </w:r>
      <w:r w:rsidRPr="001C3C2C">
        <w:rPr>
          <w:color w:val="333333"/>
        </w:rPr>
        <w:t xml:space="preserve"> has been surveyed. The absolute sampling error (ASE) that is reported by Stats NZ is the margin of error </w:t>
      </w:r>
      <w:r>
        <w:rPr>
          <w:color w:val="333333"/>
        </w:rPr>
        <w:t xml:space="preserve">in percentage points </w:t>
      </w:r>
      <w:r w:rsidRPr="001C3C2C">
        <w:rPr>
          <w:color w:val="333333"/>
        </w:rPr>
        <w:t xml:space="preserve">at 95 percent confidence. For example, if the estimated total proportion of people with some characteristic is 27 percent and the estimate is subject to an </w:t>
      </w:r>
      <w:r w:rsidR="002E5D05">
        <w:rPr>
          <w:color w:val="333333"/>
        </w:rPr>
        <w:t>ASE</w:t>
      </w:r>
      <w:r w:rsidRPr="001C3C2C">
        <w:rPr>
          <w:color w:val="333333"/>
        </w:rPr>
        <w:t xml:space="preserve"> of 2 percent</w:t>
      </w:r>
      <w:r w:rsidR="002743D4">
        <w:rPr>
          <w:color w:val="333333"/>
        </w:rPr>
        <w:t xml:space="preserve">, </w:t>
      </w:r>
      <w:r w:rsidRPr="001C3C2C">
        <w:rPr>
          <w:color w:val="333333"/>
        </w:rPr>
        <w:t>that means the 95 percent confidence interval on the estimate of 27% is plus or minus 2 percentage points (</w:t>
      </w:r>
      <w:r w:rsidR="00715EA2">
        <w:rPr>
          <w:color w:val="333333"/>
        </w:rPr>
        <w:t>that is,</w:t>
      </w:r>
      <w:r>
        <w:rPr>
          <w:color w:val="333333"/>
        </w:rPr>
        <w:t xml:space="preserve"> t</w:t>
      </w:r>
      <w:r w:rsidRPr="001C3C2C">
        <w:rPr>
          <w:color w:val="333333"/>
        </w:rPr>
        <w:t xml:space="preserve">he confidence interval at 95% is 25 </w:t>
      </w:r>
      <w:r w:rsidR="00EE762F">
        <w:rPr>
          <w:color w:val="333333"/>
        </w:rPr>
        <w:t xml:space="preserve">percent </w:t>
      </w:r>
      <w:r w:rsidRPr="001C3C2C">
        <w:rPr>
          <w:color w:val="333333"/>
        </w:rPr>
        <w:t xml:space="preserve">to 29 percent). </w:t>
      </w:r>
    </w:p>
    <w:p w14:paraId="4BDC3CC6" w14:textId="533C828D" w:rsidR="0030393E" w:rsidRDefault="0030393E" w:rsidP="0030393E">
      <w:pPr>
        <w:rPr>
          <w:color w:val="333333"/>
        </w:rPr>
      </w:pPr>
      <w:r w:rsidRPr="001C3C2C">
        <w:rPr>
          <w:color w:val="333333"/>
        </w:rPr>
        <w:t xml:space="preserve">The relative sampling error (RSE) is a percentage showing how big the ASE is compared </w:t>
      </w:r>
      <w:r w:rsidR="00A918B6">
        <w:rPr>
          <w:color w:val="333333"/>
        </w:rPr>
        <w:t>with</w:t>
      </w:r>
      <w:r w:rsidRPr="001C3C2C">
        <w:rPr>
          <w:color w:val="333333"/>
        </w:rPr>
        <w:t xml:space="preserve"> the estimate itself. RSE is calculated as ASE/estimate x100. In the Excel tables</w:t>
      </w:r>
      <w:r w:rsidRPr="00967FC2">
        <w:rPr>
          <w:color w:val="333333"/>
        </w:rPr>
        <w:t>,</w:t>
      </w:r>
      <w:r w:rsidRPr="001C3C2C">
        <w:rPr>
          <w:color w:val="333333"/>
        </w:rPr>
        <w:t xml:space="preserve"> estimates with an RSE of 30 percent or higher are marked with an asterisk</w:t>
      </w:r>
      <w:r w:rsidR="006D5F32">
        <w:rPr>
          <w:color w:val="333333"/>
        </w:rPr>
        <w:t xml:space="preserve"> and e</w:t>
      </w:r>
      <w:r w:rsidRPr="001C3C2C">
        <w:rPr>
          <w:color w:val="333333"/>
        </w:rPr>
        <w:t xml:space="preserve">stimates with an RSE of 50 percent or higher are marked with two asterisks. It is recommended that estimates marked with an asterisk </w:t>
      </w:r>
      <w:r w:rsidRPr="001C3C2C" w:rsidDel="0076237D">
        <w:rPr>
          <w:color w:val="333333"/>
        </w:rPr>
        <w:t>be</w:t>
      </w:r>
      <w:r w:rsidRPr="001C3C2C">
        <w:rPr>
          <w:color w:val="333333"/>
        </w:rPr>
        <w:t xml:space="preserve"> used with caution. </w:t>
      </w:r>
    </w:p>
    <w:p w14:paraId="14DA76EC" w14:textId="764F756A" w:rsidR="003D3A40" w:rsidRPr="001C3C2C" w:rsidRDefault="003D3A40" w:rsidP="003D3A40">
      <w:pPr>
        <w:rPr>
          <w:color w:val="333333"/>
        </w:rPr>
      </w:pPr>
      <w:r w:rsidRPr="001C3C2C">
        <w:rPr>
          <w:color w:val="333333"/>
        </w:rPr>
        <w:t>The</w:t>
      </w:r>
      <w:r w:rsidR="00151143">
        <w:rPr>
          <w:color w:val="333333"/>
        </w:rPr>
        <w:t xml:space="preserve"> following rules </w:t>
      </w:r>
      <w:r w:rsidRPr="001C3C2C">
        <w:rPr>
          <w:color w:val="333333"/>
        </w:rPr>
        <w:t>apply to all HDS estimates</w:t>
      </w:r>
      <w:r w:rsidR="00151143">
        <w:rPr>
          <w:color w:val="333333"/>
        </w:rPr>
        <w:t>:</w:t>
      </w:r>
    </w:p>
    <w:p w14:paraId="5B1452D1" w14:textId="77777777" w:rsidR="0030393E" w:rsidRPr="00151143" w:rsidRDefault="0030393E" w:rsidP="00151143">
      <w:pPr>
        <w:pStyle w:val="ListParagraph"/>
        <w:numPr>
          <w:ilvl w:val="0"/>
          <w:numId w:val="29"/>
        </w:numPr>
        <w:spacing w:after="160"/>
        <w:ind w:left="714" w:hanging="357"/>
        <w:contextualSpacing w:val="0"/>
        <w:rPr>
          <w:color w:val="333333"/>
        </w:rPr>
      </w:pPr>
      <w:r w:rsidRPr="00151143">
        <w:rPr>
          <w:color w:val="333333"/>
        </w:rPr>
        <w:t>Count estimates and their attached ASEs are rounded to the nearest 1,000 when published.</w:t>
      </w:r>
    </w:p>
    <w:p w14:paraId="35BA026E" w14:textId="4083B494" w:rsidR="0030393E" w:rsidRPr="00151143" w:rsidRDefault="0030393E" w:rsidP="00151143">
      <w:pPr>
        <w:pStyle w:val="ListParagraph"/>
        <w:numPr>
          <w:ilvl w:val="0"/>
          <w:numId w:val="29"/>
        </w:numPr>
        <w:spacing w:after="160"/>
        <w:ind w:left="714" w:hanging="357"/>
        <w:contextualSpacing w:val="0"/>
        <w:rPr>
          <w:color w:val="333333"/>
        </w:rPr>
      </w:pPr>
      <w:r w:rsidRPr="00151143">
        <w:rPr>
          <w:color w:val="333333"/>
        </w:rPr>
        <w:t xml:space="preserve">Percentage estimates are rounded to </w:t>
      </w:r>
      <w:r w:rsidR="00D5029D">
        <w:rPr>
          <w:color w:val="333333"/>
        </w:rPr>
        <w:t>zero</w:t>
      </w:r>
      <w:r w:rsidRPr="00151143">
        <w:rPr>
          <w:color w:val="333333"/>
        </w:rPr>
        <w:t xml:space="preserve"> decimal points. The ASE for rates or percentages are rounded to </w:t>
      </w:r>
      <w:r w:rsidR="00E77802">
        <w:rPr>
          <w:color w:val="333333"/>
        </w:rPr>
        <w:t>one</w:t>
      </w:r>
      <w:r w:rsidRPr="00151143">
        <w:rPr>
          <w:color w:val="333333"/>
        </w:rPr>
        <w:t xml:space="preserve"> decimal point.</w:t>
      </w:r>
      <w:r w:rsidR="00A02E1C" w:rsidRPr="00151143">
        <w:rPr>
          <w:color w:val="333333"/>
        </w:rPr>
        <w:t xml:space="preserve"> </w:t>
      </w:r>
      <w:r w:rsidRPr="00151143">
        <w:rPr>
          <w:color w:val="333333"/>
        </w:rPr>
        <w:t>This is done to reduce the amount of rounding to zero in the tables.</w:t>
      </w:r>
      <w:r w:rsidR="00A02E1C" w:rsidRPr="00151143">
        <w:rPr>
          <w:color w:val="333333"/>
        </w:rPr>
        <w:t xml:space="preserve"> </w:t>
      </w:r>
    </w:p>
    <w:p w14:paraId="3BFBFC05" w14:textId="69261615" w:rsidR="0030393E" w:rsidRPr="00151143" w:rsidRDefault="0030393E" w:rsidP="00151143">
      <w:pPr>
        <w:pStyle w:val="ListParagraph"/>
        <w:numPr>
          <w:ilvl w:val="0"/>
          <w:numId w:val="29"/>
        </w:numPr>
        <w:spacing w:after="160"/>
        <w:ind w:left="714" w:hanging="357"/>
        <w:contextualSpacing w:val="0"/>
        <w:rPr>
          <w:color w:val="333333"/>
        </w:rPr>
      </w:pPr>
      <w:r w:rsidRPr="00151143">
        <w:rPr>
          <w:color w:val="333333"/>
        </w:rPr>
        <w:t>Percentages are always calculated using unrounded counts and exclude residual responses (</w:t>
      </w:r>
      <w:r w:rsidR="000A1710">
        <w:rPr>
          <w:color w:val="333333"/>
        </w:rPr>
        <w:t xml:space="preserve">that is, </w:t>
      </w:r>
      <w:r w:rsidRPr="00151143">
        <w:rPr>
          <w:color w:val="333333"/>
        </w:rPr>
        <w:t>‘don’t know’ or ‘refused’).</w:t>
      </w:r>
    </w:p>
    <w:p w14:paraId="507140CA" w14:textId="140F3D18" w:rsidR="00E21C03" w:rsidRPr="00151143" w:rsidRDefault="3CD29683" w:rsidP="3524BD2A">
      <w:pPr>
        <w:pStyle w:val="ListParagraph"/>
        <w:numPr>
          <w:ilvl w:val="0"/>
          <w:numId w:val="29"/>
        </w:numPr>
        <w:spacing w:after="160"/>
        <w:ind w:left="714" w:hanging="357"/>
        <w:rPr>
          <w:color w:val="333333"/>
        </w:rPr>
      </w:pPr>
      <w:r w:rsidRPr="3524BD2A">
        <w:rPr>
          <w:color w:val="333333"/>
        </w:rPr>
        <w:t xml:space="preserve">Estimates with very few contributors are deemed both a risk to respondent confidentiality and unreliable for national statistics. Count estimates are supressed if the weighted count is less than 1,000 or if less than </w:t>
      </w:r>
      <w:r w:rsidR="2AE6EA12" w:rsidRPr="3524BD2A">
        <w:rPr>
          <w:color w:val="333333"/>
        </w:rPr>
        <w:t>six</w:t>
      </w:r>
      <w:r w:rsidRPr="3524BD2A">
        <w:rPr>
          <w:color w:val="333333"/>
        </w:rPr>
        <w:t xml:space="preserve"> unweighted respondents contributed to the estimate. The same rules apply for percentage estimates</w:t>
      </w:r>
      <w:r w:rsidR="72E5DEAE" w:rsidRPr="3524BD2A">
        <w:rPr>
          <w:color w:val="333333"/>
        </w:rPr>
        <w:t xml:space="preserve"> – </w:t>
      </w:r>
      <w:r w:rsidRPr="3524BD2A">
        <w:rPr>
          <w:color w:val="333333"/>
        </w:rPr>
        <w:t xml:space="preserve">percentages are suppressed if the numerator or denominator is less than 1,000 weighted or less than </w:t>
      </w:r>
      <w:r w:rsidR="72E5DEAE" w:rsidRPr="3524BD2A">
        <w:rPr>
          <w:color w:val="333333"/>
        </w:rPr>
        <w:t>six</w:t>
      </w:r>
      <w:r w:rsidRPr="3524BD2A">
        <w:rPr>
          <w:color w:val="333333"/>
        </w:rPr>
        <w:t xml:space="preserve"> unweighted. Suppressed estimates are marked with an ‘S’ in tables.</w:t>
      </w:r>
      <w:r w:rsidR="2322342B" w:rsidRPr="3524BD2A">
        <w:rPr>
          <w:rFonts w:cstheme="minorBidi"/>
          <w:color w:val="000000"/>
          <w:shd w:val="clear" w:color="auto" w:fill="FFFFFF"/>
        </w:rPr>
        <w:t xml:space="preserve"> </w:t>
      </w:r>
    </w:p>
    <w:p w14:paraId="49666FDC" w14:textId="77777777" w:rsidR="00405836" w:rsidRDefault="00405836">
      <w:pPr>
        <w:spacing w:after="160" w:line="259" w:lineRule="auto"/>
        <w:rPr>
          <w:rFonts w:eastAsiaTheme="majorEastAsia" w:cstheme="majorBidi"/>
          <w:bCs/>
          <w:noProof/>
          <w:color w:val="4E5B61"/>
          <w:sz w:val="40"/>
          <w:szCs w:val="28"/>
          <w:lang w:eastAsia="en-NZ"/>
        </w:rPr>
      </w:pPr>
      <w:bookmarkStart w:id="216" w:name="_10._Comparibility"/>
      <w:bookmarkStart w:id="217" w:name="_Toc187762906"/>
      <w:bookmarkStart w:id="218" w:name="_Toc187763588"/>
      <w:bookmarkStart w:id="219" w:name="_Toc187763867"/>
      <w:bookmarkEnd w:id="216"/>
      <w:r>
        <w:br w:type="page"/>
      </w:r>
    </w:p>
    <w:p w14:paraId="7C31C949" w14:textId="0B2FF213" w:rsidR="00E21C03" w:rsidRDefault="00E21C03" w:rsidP="00E21C03">
      <w:pPr>
        <w:pStyle w:val="Heading1"/>
      </w:pPr>
      <w:bookmarkStart w:id="220" w:name="_Toc190856870"/>
      <w:r>
        <w:t>10. Comparibility</w:t>
      </w:r>
      <w:bookmarkEnd w:id="217"/>
      <w:bookmarkEnd w:id="218"/>
      <w:bookmarkEnd w:id="219"/>
      <w:bookmarkEnd w:id="220"/>
      <w:r>
        <w:t xml:space="preserve"> </w:t>
      </w:r>
    </w:p>
    <w:p w14:paraId="767C8283" w14:textId="59D21623" w:rsidR="003733A8" w:rsidRDefault="00A76FCE" w:rsidP="00A76FCE">
      <w:pPr>
        <w:pStyle w:val="Heading2"/>
      </w:pPr>
      <w:bookmarkStart w:id="221" w:name="_Toc190856871"/>
      <w:r>
        <w:t xml:space="preserve">10.1 </w:t>
      </w:r>
      <w:r w:rsidR="003733A8">
        <w:t>Comparability with other surveys</w:t>
      </w:r>
      <w:bookmarkEnd w:id="221"/>
    </w:p>
    <w:p w14:paraId="6AF6BBCD" w14:textId="247BD68A" w:rsidR="003662B4" w:rsidRDefault="35B980BA" w:rsidP="00FA197F">
      <w:r w:rsidRPr="3524BD2A">
        <w:t>Findings about disability will differ across different surveys</w:t>
      </w:r>
      <w:r w:rsidR="06977963" w:rsidRPr="3524BD2A">
        <w:t xml:space="preserve"> (including the 2023 Census)</w:t>
      </w:r>
      <w:r w:rsidR="32F1EBDA" w:rsidRPr="3524BD2A">
        <w:t xml:space="preserve"> because of differences in the way disabled people are identified</w:t>
      </w:r>
      <w:r w:rsidRPr="3524BD2A">
        <w:t>.</w:t>
      </w:r>
      <w:r w:rsidR="5D3B6FF3" w:rsidRPr="3524BD2A">
        <w:t xml:space="preserve"> </w:t>
      </w:r>
    </w:p>
    <w:p w14:paraId="6B480D75" w14:textId="377D4A35" w:rsidR="00473C95" w:rsidRDefault="00FA197F" w:rsidP="00FA197F">
      <w:pPr>
        <w:rPr>
          <w:rFonts w:cstheme="minorHAnsi"/>
        </w:rPr>
      </w:pPr>
      <w:r w:rsidRPr="007E2591">
        <w:rPr>
          <w:rFonts w:cstheme="minorHAnsi"/>
        </w:rPr>
        <w:t xml:space="preserve">The </w:t>
      </w:r>
      <w:r w:rsidR="003E73CB">
        <w:rPr>
          <w:rFonts w:cstheme="minorHAnsi"/>
        </w:rPr>
        <w:t xml:space="preserve">2023 </w:t>
      </w:r>
      <w:r w:rsidRPr="007E2591">
        <w:rPr>
          <w:rFonts w:cstheme="minorHAnsi"/>
        </w:rPr>
        <w:t>HDS estimates of prevalence use</w:t>
      </w:r>
      <w:r w:rsidR="00694E55">
        <w:rPr>
          <w:rFonts w:cstheme="minorHAnsi"/>
        </w:rPr>
        <w:t>d</w:t>
      </w:r>
      <w:r w:rsidRPr="007E2591">
        <w:rPr>
          <w:rFonts w:cstheme="minorHAnsi"/>
        </w:rPr>
        <w:t xml:space="preserve"> a more extensive set of questions to count disabled people than </w:t>
      </w:r>
      <w:r>
        <w:rPr>
          <w:rFonts w:cstheme="minorHAnsi"/>
        </w:rPr>
        <w:t xml:space="preserve">is </w:t>
      </w:r>
      <w:r w:rsidRPr="007E2591">
        <w:rPr>
          <w:rFonts w:cstheme="minorHAnsi"/>
        </w:rPr>
        <w:t>used in many surveys.</w:t>
      </w:r>
      <w:r w:rsidR="00A02E1C">
        <w:rPr>
          <w:rFonts w:cstheme="minorHAnsi"/>
        </w:rPr>
        <w:t xml:space="preserve"> </w:t>
      </w:r>
    </w:p>
    <w:p w14:paraId="55C8C2F0" w14:textId="38F7689D" w:rsidR="00D16FB0" w:rsidRDefault="00FA197F" w:rsidP="00FA197F">
      <w:pPr>
        <w:rPr>
          <w:rFonts w:cstheme="minorHAnsi"/>
        </w:rPr>
      </w:pPr>
      <w:r w:rsidRPr="007E2591">
        <w:rPr>
          <w:rFonts w:cstheme="minorHAnsi"/>
        </w:rPr>
        <w:t>Statistics about disabled people are produced from other government surveys</w:t>
      </w:r>
      <w:r w:rsidR="00A240BD">
        <w:rPr>
          <w:rFonts w:cstheme="minorHAnsi"/>
        </w:rPr>
        <w:t>,</w:t>
      </w:r>
      <w:r w:rsidR="00926C88">
        <w:rPr>
          <w:rFonts w:cstheme="minorHAnsi"/>
        </w:rPr>
        <w:t xml:space="preserve"> </w:t>
      </w:r>
      <w:r w:rsidR="00BB21AD">
        <w:rPr>
          <w:rFonts w:cstheme="minorHAnsi"/>
        </w:rPr>
        <w:t xml:space="preserve">many of which use disability questions from the </w:t>
      </w:r>
      <w:r>
        <w:rPr>
          <w:rFonts w:cstheme="minorHAnsi"/>
        </w:rPr>
        <w:t>Washington Group</w:t>
      </w:r>
      <w:r w:rsidR="00101302">
        <w:rPr>
          <w:rFonts w:cstheme="minorHAnsi"/>
        </w:rPr>
        <w:t>’s</w:t>
      </w:r>
      <w:r>
        <w:rPr>
          <w:rFonts w:cstheme="minorHAnsi"/>
        </w:rPr>
        <w:t xml:space="preserve"> </w:t>
      </w:r>
      <w:hyperlink r:id="rId56" w:history="1">
        <w:r w:rsidR="00BB21AD" w:rsidRPr="00BB21AD">
          <w:rPr>
            <w:rStyle w:val="Hyperlink"/>
            <w:rFonts w:ascii="Calibri" w:hAnsi="Calibri" w:cstheme="minorHAnsi"/>
          </w:rPr>
          <w:t xml:space="preserve">Short </w:t>
        </w:r>
        <w:r w:rsidR="00BB21AD" w:rsidRPr="00BB21AD" w:rsidDel="0012740E">
          <w:rPr>
            <w:rStyle w:val="Hyperlink"/>
            <w:rFonts w:ascii="Calibri" w:hAnsi="Calibri" w:cstheme="minorHAnsi"/>
          </w:rPr>
          <w:t>S</w:t>
        </w:r>
        <w:r w:rsidR="00BB21AD" w:rsidRPr="00BB21AD">
          <w:rPr>
            <w:rStyle w:val="Hyperlink"/>
            <w:rFonts w:ascii="Calibri" w:hAnsi="Calibri" w:cstheme="minorHAnsi"/>
          </w:rPr>
          <w:t xml:space="preserve">et on </w:t>
        </w:r>
        <w:r w:rsidR="00BB21AD" w:rsidRPr="00BB21AD" w:rsidDel="0012740E">
          <w:rPr>
            <w:rStyle w:val="Hyperlink"/>
            <w:rFonts w:ascii="Calibri" w:hAnsi="Calibri" w:cstheme="minorHAnsi"/>
          </w:rPr>
          <w:t>F</w:t>
        </w:r>
        <w:r w:rsidR="00BB21AD" w:rsidRPr="00BB21AD">
          <w:rPr>
            <w:rStyle w:val="Hyperlink"/>
            <w:rFonts w:ascii="Calibri" w:hAnsi="Calibri" w:cstheme="minorHAnsi"/>
          </w:rPr>
          <w:t>unctioning</w:t>
        </w:r>
      </w:hyperlink>
      <w:r>
        <w:rPr>
          <w:rFonts w:cstheme="minorHAnsi"/>
        </w:rPr>
        <w:t xml:space="preserve"> </w:t>
      </w:r>
      <w:r w:rsidR="00926C88">
        <w:rPr>
          <w:rFonts w:cstheme="minorHAnsi"/>
        </w:rPr>
        <w:t xml:space="preserve">or </w:t>
      </w:r>
      <w:hyperlink r:id="rId57" w:history="1">
        <w:r w:rsidR="00BB21AD">
          <w:rPr>
            <w:rStyle w:val="Hyperlink"/>
            <w:rFonts w:ascii="Calibri" w:hAnsi="Calibri" w:cstheme="minorHAnsi"/>
          </w:rPr>
          <w:t>Short Set on Functioning – Enhanced</w:t>
        </w:r>
      </w:hyperlink>
      <w:r>
        <w:rPr>
          <w:rFonts w:cstheme="minorHAnsi"/>
        </w:rPr>
        <w:t>.</w:t>
      </w:r>
      <w:r w:rsidR="00A02E1C">
        <w:rPr>
          <w:rFonts w:cstheme="minorHAnsi"/>
        </w:rPr>
        <w:t xml:space="preserve"> </w:t>
      </w:r>
      <w:r>
        <w:rPr>
          <w:rFonts w:cstheme="minorHAnsi"/>
        </w:rPr>
        <w:t>Th</w:t>
      </w:r>
      <w:r w:rsidR="00101302">
        <w:rPr>
          <w:rFonts w:cstheme="minorHAnsi"/>
        </w:rPr>
        <w:t>ese</w:t>
      </w:r>
      <w:r>
        <w:rPr>
          <w:rFonts w:cstheme="minorHAnsi"/>
        </w:rPr>
        <w:t xml:space="preserve"> question set</w:t>
      </w:r>
      <w:r w:rsidR="00101302">
        <w:rPr>
          <w:rFonts w:cstheme="minorHAnsi"/>
        </w:rPr>
        <w:t>s were</w:t>
      </w:r>
      <w:r w:rsidRPr="007E2591">
        <w:rPr>
          <w:rFonts w:cstheme="minorHAnsi"/>
        </w:rPr>
        <w:t xml:space="preserve"> not intended to provide measures of </w:t>
      </w:r>
      <w:r>
        <w:rPr>
          <w:rFonts w:cstheme="minorHAnsi"/>
        </w:rPr>
        <w:t xml:space="preserve">disability </w:t>
      </w:r>
      <w:r w:rsidRPr="007E2591">
        <w:rPr>
          <w:rFonts w:cstheme="minorHAnsi"/>
        </w:rPr>
        <w:t>prevalence.</w:t>
      </w:r>
      <w:r w:rsidR="00935D02">
        <w:rPr>
          <w:rFonts w:cstheme="minorHAnsi"/>
        </w:rPr>
        <w:t xml:space="preserve"> </w:t>
      </w:r>
      <w:r w:rsidR="00533446">
        <w:rPr>
          <w:rFonts w:cstheme="minorHAnsi"/>
        </w:rPr>
        <w:t xml:space="preserve">Their purpose is to </w:t>
      </w:r>
      <w:r w:rsidR="00533446" w:rsidRPr="007E2591">
        <w:rPr>
          <w:rFonts w:cstheme="minorHAnsi"/>
        </w:rPr>
        <w:t xml:space="preserve">provide information </w:t>
      </w:r>
      <w:r w:rsidR="00533446">
        <w:rPr>
          <w:rFonts w:cstheme="minorHAnsi"/>
        </w:rPr>
        <w:t>about</w:t>
      </w:r>
      <w:r w:rsidR="00533446" w:rsidRPr="007E2591">
        <w:rPr>
          <w:rFonts w:cstheme="minorHAnsi"/>
        </w:rPr>
        <w:t xml:space="preserve"> disparities between disabled and non-disabled people</w:t>
      </w:r>
      <w:r w:rsidR="00935D02">
        <w:rPr>
          <w:rFonts w:cstheme="minorHAnsi"/>
        </w:rPr>
        <w:t xml:space="preserve"> </w:t>
      </w:r>
      <w:r w:rsidR="00D16FB0">
        <w:rPr>
          <w:rFonts w:cstheme="minorHAnsi"/>
        </w:rPr>
        <w:t xml:space="preserve">for whatever subject their host survey </w:t>
      </w:r>
      <w:r w:rsidR="00CA4C1A">
        <w:rPr>
          <w:rFonts w:cstheme="minorHAnsi"/>
        </w:rPr>
        <w:t>is primarily focused on</w:t>
      </w:r>
      <w:r w:rsidR="00935D02">
        <w:rPr>
          <w:rFonts w:cstheme="minorHAnsi"/>
        </w:rPr>
        <w:t xml:space="preserve"> (</w:t>
      </w:r>
      <w:r w:rsidR="00473C95">
        <w:rPr>
          <w:rFonts w:cstheme="minorHAnsi"/>
        </w:rPr>
        <w:t>for example,</w:t>
      </w:r>
      <w:r w:rsidR="00935D02">
        <w:rPr>
          <w:rFonts w:cstheme="minorHAnsi"/>
        </w:rPr>
        <w:t xml:space="preserve"> w</w:t>
      </w:r>
      <w:r w:rsidR="00CA4C1A" w:rsidRPr="007E2591">
        <w:rPr>
          <w:rFonts w:cstheme="minorHAnsi"/>
        </w:rPr>
        <w:t>ellbeing, employment, crime</w:t>
      </w:r>
      <w:r w:rsidR="00935D02">
        <w:rPr>
          <w:rFonts w:cstheme="minorHAnsi"/>
        </w:rPr>
        <w:t xml:space="preserve">). </w:t>
      </w:r>
    </w:p>
    <w:p w14:paraId="125596E1" w14:textId="703B34B4" w:rsidR="003733A8" w:rsidRDefault="6F4D045B" w:rsidP="00A76FCE">
      <w:pPr>
        <w:pStyle w:val="Heading2"/>
      </w:pPr>
      <w:bookmarkStart w:id="222" w:name="_10.2_Comparability_with"/>
      <w:bookmarkStart w:id="223" w:name="_Toc190856872"/>
      <w:bookmarkEnd w:id="222"/>
      <w:r w:rsidRPr="3524BD2A">
        <w:t xml:space="preserve">10.2 </w:t>
      </w:r>
      <w:r w:rsidR="5588FC42" w:rsidRPr="3524BD2A">
        <w:t>Comparability with previous disability surveys</w:t>
      </w:r>
      <w:bookmarkEnd w:id="223"/>
    </w:p>
    <w:p w14:paraId="114FFA08" w14:textId="49734878" w:rsidR="00BC37DC" w:rsidRPr="007E2591" w:rsidRDefault="35B980BA" w:rsidP="3524BD2A">
      <w:pPr>
        <w:rPr>
          <w:rFonts w:cstheme="minorBidi"/>
          <w:color w:val="333333"/>
        </w:rPr>
      </w:pPr>
      <w:r w:rsidRPr="3524BD2A">
        <w:rPr>
          <w:rFonts w:cstheme="minorBidi"/>
          <w:color w:val="333333"/>
        </w:rPr>
        <w:t>Estimates from the 2023 HDS are also not comparable with those from previous disability surveys run by Stats NZ.</w:t>
      </w:r>
      <w:r w:rsidR="5D3B6FF3" w:rsidRPr="3524BD2A">
        <w:rPr>
          <w:rFonts w:cstheme="minorBidi"/>
          <w:color w:val="333333"/>
        </w:rPr>
        <w:t xml:space="preserve"> </w:t>
      </w:r>
      <w:r w:rsidRPr="3524BD2A">
        <w:rPr>
          <w:rFonts w:cstheme="minorBidi"/>
          <w:color w:val="333333"/>
        </w:rPr>
        <w:t>This is due to substantial changes in the way disabled people were identified in the 2023 survey compared with previous surveys.</w:t>
      </w:r>
      <w:r w:rsidR="5D3B6FF3" w:rsidRPr="3524BD2A">
        <w:rPr>
          <w:rFonts w:cstheme="minorBidi"/>
          <w:color w:val="333333"/>
        </w:rPr>
        <w:t xml:space="preserve"> </w:t>
      </w:r>
    </w:p>
    <w:p w14:paraId="48C07D2B" w14:textId="59C28681" w:rsidR="00D21D84" w:rsidRDefault="450E18F2" w:rsidP="3524BD2A">
      <w:pPr>
        <w:rPr>
          <w:rFonts w:cstheme="minorBidi"/>
          <w:color w:val="000000"/>
          <w:shd w:val="clear" w:color="auto" w:fill="FFFFFF"/>
        </w:rPr>
      </w:pPr>
      <w:r w:rsidRPr="3524BD2A">
        <w:rPr>
          <w:color w:val="333333"/>
        </w:rPr>
        <w:t>In previous disability surveys run by Stats NZ (there have been four between 1996 and 2013)</w:t>
      </w:r>
      <w:r w:rsidR="6283F06B" w:rsidRPr="3524BD2A">
        <w:rPr>
          <w:color w:val="333333"/>
        </w:rPr>
        <w:t>,</w:t>
      </w:r>
      <w:r w:rsidRPr="3524BD2A">
        <w:rPr>
          <w:color w:val="333333"/>
        </w:rPr>
        <w:t xml:space="preserve"> </w:t>
      </w:r>
      <w:r w:rsidR="35B980BA" w:rsidRPr="3524BD2A">
        <w:rPr>
          <w:color w:val="333333"/>
        </w:rPr>
        <w:t xml:space="preserve">disabled people were identified using a set of screening questions. </w:t>
      </w:r>
      <w:r w:rsidR="6F32AF34" w:rsidRPr="3524BD2A">
        <w:rPr>
          <w:color w:val="333333"/>
        </w:rPr>
        <w:t>The 2023 HDS also used a set of screening questions</w:t>
      </w:r>
      <w:r w:rsidR="1F15BE9C" w:rsidRPr="3524BD2A">
        <w:rPr>
          <w:color w:val="333333"/>
        </w:rPr>
        <w:t>,</w:t>
      </w:r>
      <w:r w:rsidR="6F32AF34" w:rsidRPr="3524BD2A">
        <w:rPr>
          <w:color w:val="333333"/>
        </w:rPr>
        <w:t xml:space="preserve"> but </w:t>
      </w:r>
      <w:r w:rsidR="6F32AF34" w:rsidRPr="3524BD2A" w:rsidDel="00F346E2">
        <w:rPr>
          <w:color w:val="333333"/>
        </w:rPr>
        <w:t>the</w:t>
      </w:r>
      <w:r w:rsidR="3ACDAFF7" w:rsidRPr="3524BD2A" w:rsidDel="00F346E2">
        <w:rPr>
          <w:color w:val="333333"/>
        </w:rPr>
        <w:t xml:space="preserve"> </w:t>
      </w:r>
      <w:r w:rsidR="3ACDAFF7" w:rsidRPr="3524BD2A" w:rsidDel="00671122">
        <w:rPr>
          <w:color w:val="333333"/>
        </w:rPr>
        <w:t>previous</w:t>
      </w:r>
      <w:r w:rsidR="1F15BE9C" w:rsidRPr="3524BD2A" w:rsidDel="00671122">
        <w:rPr>
          <w:color w:val="333333"/>
        </w:rPr>
        <w:t xml:space="preserve"> </w:t>
      </w:r>
      <w:r w:rsidR="3ACDAFF7" w:rsidRPr="3524BD2A" w:rsidDel="00671122">
        <w:rPr>
          <w:color w:val="333333"/>
        </w:rPr>
        <w:t>screening</w:t>
      </w:r>
      <w:r w:rsidR="3ACDAFF7" w:rsidRPr="3524BD2A">
        <w:rPr>
          <w:color w:val="333333"/>
        </w:rPr>
        <w:t xml:space="preserve"> questions from </w:t>
      </w:r>
      <w:r w:rsidR="60E7E3DA" w:rsidRPr="3524BD2A">
        <w:rPr>
          <w:color w:val="333333"/>
        </w:rPr>
        <w:t xml:space="preserve">the </w:t>
      </w:r>
      <w:r w:rsidR="3ACDAFF7" w:rsidRPr="3524BD2A">
        <w:rPr>
          <w:color w:val="333333"/>
        </w:rPr>
        <w:t>2013</w:t>
      </w:r>
      <w:r w:rsidR="29D3E7A3" w:rsidRPr="3524BD2A">
        <w:rPr>
          <w:color w:val="333333"/>
        </w:rPr>
        <w:t xml:space="preserve"> Disability Survey</w:t>
      </w:r>
      <w:r w:rsidR="3ACDAFF7" w:rsidRPr="3524BD2A">
        <w:rPr>
          <w:color w:val="333333"/>
        </w:rPr>
        <w:t xml:space="preserve"> </w:t>
      </w:r>
      <w:r w:rsidR="4A4D2E4D" w:rsidRPr="3524BD2A">
        <w:rPr>
          <w:color w:val="333333"/>
        </w:rPr>
        <w:t xml:space="preserve">were </w:t>
      </w:r>
      <w:r w:rsidR="35B980BA" w:rsidRPr="3524BD2A">
        <w:rPr>
          <w:color w:val="333333"/>
        </w:rPr>
        <w:t xml:space="preserve">replaced with sets based on the Washington Group’s </w:t>
      </w:r>
      <w:hyperlink r:id="rId58" w:history="1">
        <w:r w:rsidR="503297D8" w:rsidRPr="3524BD2A">
          <w:rPr>
            <w:rStyle w:val="Hyperlink"/>
            <w:rFonts w:ascii="Calibri" w:hAnsi="Calibri" w:cstheme="minorBidi"/>
            <w:shd w:val="clear" w:color="auto" w:fill="FFFFFF"/>
          </w:rPr>
          <w:t xml:space="preserve">Extended </w:t>
        </w:r>
        <w:r w:rsidR="503297D8" w:rsidRPr="3524BD2A" w:rsidDel="00687393">
          <w:rPr>
            <w:rStyle w:val="Hyperlink"/>
            <w:rFonts w:ascii="Calibri" w:hAnsi="Calibri" w:cstheme="minorBidi"/>
            <w:shd w:val="clear" w:color="auto" w:fill="FFFFFF"/>
          </w:rPr>
          <w:t>S</w:t>
        </w:r>
        <w:r w:rsidR="503297D8" w:rsidRPr="3524BD2A">
          <w:rPr>
            <w:rStyle w:val="Hyperlink"/>
            <w:rFonts w:ascii="Calibri" w:hAnsi="Calibri" w:cstheme="minorBidi"/>
            <w:shd w:val="clear" w:color="auto" w:fill="FFFFFF"/>
          </w:rPr>
          <w:t xml:space="preserve">et on </w:t>
        </w:r>
        <w:r w:rsidR="503297D8" w:rsidRPr="3524BD2A" w:rsidDel="00687393">
          <w:rPr>
            <w:rStyle w:val="Hyperlink"/>
            <w:rFonts w:ascii="Calibri" w:hAnsi="Calibri" w:cstheme="minorBidi"/>
            <w:shd w:val="clear" w:color="auto" w:fill="FFFFFF"/>
          </w:rPr>
          <w:t>F</w:t>
        </w:r>
        <w:r w:rsidR="503297D8" w:rsidRPr="3524BD2A">
          <w:rPr>
            <w:rStyle w:val="Hyperlink"/>
            <w:rFonts w:ascii="Calibri" w:hAnsi="Calibri" w:cstheme="minorBidi"/>
            <w:shd w:val="clear" w:color="auto" w:fill="FFFFFF"/>
          </w:rPr>
          <w:t>unctioning</w:t>
        </w:r>
      </w:hyperlink>
      <w:r w:rsidR="503297D8" w:rsidRPr="3524BD2A">
        <w:rPr>
          <w:rFonts w:cstheme="minorBidi"/>
          <w:color w:val="000000"/>
          <w:shd w:val="clear" w:color="auto" w:fill="FFFFFF"/>
        </w:rPr>
        <w:t xml:space="preserve"> and </w:t>
      </w:r>
      <w:hyperlink r:id="rId59" w:history="1">
        <w:r w:rsidR="503297D8" w:rsidRPr="3524BD2A">
          <w:rPr>
            <w:rStyle w:val="Hyperlink"/>
            <w:rFonts w:ascii="Calibri" w:hAnsi="Calibri" w:cstheme="minorBidi"/>
            <w:shd w:val="clear" w:color="auto" w:fill="FFFFFF"/>
          </w:rPr>
          <w:t>Child Functioning Module</w:t>
        </w:r>
      </w:hyperlink>
      <w:r w:rsidR="503297D8" w:rsidRPr="3524BD2A">
        <w:rPr>
          <w:rFonts w:cstheme="minorBidi"/>
          <w:color w:val="000000"/>
          <w:shd w:val="clear" w:color="auto" w:fill="FFFFFF"/>
        </w:rPr>
        <w:t>.</w:t>
      </w:r>
    </w:p>
    <w:p w14:paraId="5A50B54B" w14:textId="72380F4F" w:rsidR="00FA197F" w:rsidRPr="00D21D84" w:rsidRDefault="00FA197F" w:rsidP="00FA197F">
      <w:pPr>
        <w:rPr>
          <w:rFonts w:cstheme="minorHAnsi"/>
          <w:color w:val="000000"/>
          <w:shd w:val="clear" w:color="auto" w:fill="FFFFFF"/>
        </w:rPr>
      </w:pPr>
      <w:r w:rsidRPr="001C3C2C">
        <w:rPr>
          <w:color w:val="333333"/>
        </w:rPr>
        <w:t>The 2013 and 2023 screening questions differ</w:t>
      </w:r>
      <w:r w:rsidR="009D248F">
        <w:rPr>
          <w:color w:val="333333"/>
        </w:rPr>
        <w:t>ed</w:t>
      </w:r>
      <w:r w:rsidRPr="001C3C2C">
        <w:rPr>
          <w:color w:val="333333"/>
        </w:rPr>
        <w:t xml:space="preserve"> in two important ways: </w:t>
      </w:r>
    </w:p>
    <w:p w14:paraId="6547EB57" w14:textId="4B0301C9" w:rsidR="00FA197F" w:rsidRDefault="00FA197F" w:rsidP="00FA197F">
      <w:pPr>
        <w:numPr>
          <w:ilvl w:val="0"/>
          <w:numId w:val="23"/>
        </w:numPr>
        <w:spacing w:after="160" w:line="259" w:lineRule="auto"/>
        <w:rPr>
          <w:color w:val="333333"/>
        </w:rPr>
      </w:pPr>
      <w:r w:rsidRPr="001C3C2C">
        <w:rPr>
          <w:color w:val="333333"/>
        </w:rPr>
        <w:t xml:space="preserve">The questions themselves </w:t>
      </w:r>
      <w:r w:rsidR="00A32FF3">
        <w:rPr>
          <w:color w:val="333333"/>
        </w:rPr>
        <w:t>were</w:t>
      </w:r>
      <w:r w:rsidR="00A32FF3" w:rsidRPr="001C3C2C">
        <w:rPr>
          <w:color w:val="333333"/>
        </w:rPr>
        <w:t xml:space="preserve"> </w:t>
      </w:r>
      <w:r w:rsidRPr="001C3C2C">
        <w:rPr>
          <w:color w:val="333333"/>
        </w:rPr>
        <w:t xml:space="preserve">different. </w:t>
      </w:r>
    </w:p>
    <w:p w14:paraId="6C1E9C62" w14:textId="1A17C356" w:rsidR="00670160" w:rsidRDefault="35B980BA" w:rsidP="3524BD2A">
      <w:pPr>
        <w:ind w:left="360"/>
        <w:rPr>
          <w:color w:val="333333"/>
        </w:rPr>
      </w:pPr>
      <w:r w:rsidRPr="3524BD2A">
        <w:rPr>
          <w:color w:val="333333"/>
        </w:rPr>
        <w:t xml:space="preserve">The 2023 question set </w:t>
      </w:r>
      <w:r w:rsidR="780326CB" w:rsidRPr="3524BD2A">
        <w:rPr>
          <w:color w:val="333333"/>
        </w:rPr>
        <w:t>wa</w:t>
      </w:r>
      <w:r w:rsidRPr="3524BD2A">
        <w:rPr>
          <w:color w:val="333333"/>
        </w:rPr>
        <w:t>s longer and cover</w:t>
      </w:r>
      <w:r w:rsidR="780326CB" w:rsidRPr="3524BD2A">
        <w:rPr>
          <w:color w:val="333333"/>
        </w:rPr>
        <w:t>ed</w:t>
      </w:r>
      <w:r w:rsidRPr="3524BD2A">
        <w:rPr>
          <w:color w:val="333333"/>
        </w:rPr>
        <w:t xml:space="preserve"> more functional domains. Even for functional domains that were included in both 2013 and 2023 (</w:t>
      </w:r>
      <w:r w:rsidR="1EC81816" w:rsidRPr="3524BD2A">
        <w:rPr>
          <w:color w:val="333333"/>
        </w:rPr>
        <w:t>for example</w:t>
      </w:r>
      <w:r w:rsidRPr="3524BD2A">
        <w:rPr>
          <w:color w:val="333333"/>
        </w:rPr>
        <w:t xml:space="preserve">, seeing, hearing, walking), the wording and specifics of the questions changed, effectively changing the assessment of functional difficulty in that </w:t>
      </w:r>
      <w:proofErr w:type="gramStart"/>
      <w:r w:rsidRPr="3524BD2A">
        <w:rPr>
          <w:color w:val="333333"/>
        </w:rPr>
        <w:t>domain</w:t>
      </w:r>
      <w:r w:rsidR="2ED1FCF9" w:rsidRPr="3524BD2A">
        <w:rPr>
          <w:color w:val="333333"/>
        </w:rPr>
        <w:t>,</w:t>
      </w:r>
      <w:r w:rsidRPr="3524BD2A">
        <w:rPr>
          <w:color w:val="333333"/>
        </w:rPr>
        <w:t xml:space="preserve"> or</w:t>
      </w:r>
      <w:proofErr w:type="gramEnd"/>
      <w:r w:rsidRPr="3524BD2A">
        <w:rPr>
          <w:color w:val="333333"/>
        </w:rPr>
        <w:t xml:space="preserve"> changing the ‘yardstick’ used to measure</w:t>
      </w:r>
      <w:r w:rsidR="1A9D24A8" w:rsidRPr="3524BD2A">
        <w:rPr>
          <w:color w:val="333333"/>
        </w:rPr>
        <w:t xml:space="preserve"> that</w:t>
      </w:r>
      <w:r w:rsidRPr="3524BD2A">
        <w:rPr>
          <w:color w:val="333333"/>
        </w:rPr>
        <w:t xml:space="preserve"> functional difficulty. </w:t>
      </w:r>
    </w:p>
    <w:p w14:paraId="131C546E" w14:textId="5DD5444A" w:rsidR="00FA197F" w:rsidRPr="001C3C2C" w:rsidRDefault="000D0F17" w:rsidP="00FA197F">
      <w:pPr>
        <w:ind w:left="360"/>
        <w:rPr>
          <w:color w:val="333333"/>
        </w:rPr>
      </w:pPr>
      <w:r w:rsidRPr="00EC42C4">
        <w:rPr>
          <w:color w:val="333333"/>
        </w:rPr>
        <w:t xml:space="preserve">An example of this is </w:t>
      </w:r>
      <w:r w:rsidR="00B36772" w:rsidRPr="00EC42C4">
        <w:rPr>
          <w:color w:val="333333"/>
        </w:rPr>
        <w:t>the qu</w:t>
      </w:r>
      <w:r w:rsidR="00670160" w:rsidRPr="00EC42C4">
        <w:rPr>
          <w:color w:val="333333"/>
        </w:rPr>
        <w:t>estions about</w:t>
      </w:r>
      <w:r w:rsidR="007326C2">
        <w:rPr>
          <w:color w:val="333333"/>
        </w:rPr>
        <w:t xml:space="preserve"> </w:t>
      </w:r>
      <w:r w:rsidR="006B5EA0">
        <w:rPr>
          <w:color w:val="333333"/>
        </w:rPr>
        <w:t>difficulty</w:t>
      </w:r>
      <w:r w:rsidR="00670160" w:rsidRPr="00EC42C4">
        <w:rPr>
          <w:color w:val="333333"/>
        </w:rPr>
        <w:t xml:space="preserve"> walking</w:t>
      </w:r>
      <w:r w:rsidR="00E6214C" w:rsidRPr="00EC42C4">
        <w:rPr>
          <w:color w:val="333333"/>
        </w:rPr>
        <w:t xml:space="preserve"> and the </w:t>
      </w:r>
      <w:r w:rsidR="001D1ADE">
        <w:rPr>
          <w:color w:val="333333"/>
        </w:rPr>
        <w:t>differing</w:t>
      </w:r>
      <w:r w:rsidR="00E6214C" w:rsidRPr="00EC42C4">
        <w:rPr>
          <w:color w:val="333333"/>
        </w:rPr>
        <w:t xml:space="preserve"> </w:t>
      </w:r>
      <w:r w:rsidR="00FE72CB">
        <w:rPr>
          <w:color w:val="333333"/>
        </w:rPr>
        <w:t xml:space="preserve">treatment of </w:t>
      </w:r>
      <w:r w:rsidR="00E6214C" w:rsidRPr="00EC42C4">
        <w:rPr>
          <w:color w:val="333333"/>
        </w:rPr>
        <w:t xml:space="preserve">assistive </w:t>
      </w:r>
      <w:r w:rsidR="00931957">
        <w:rPr>
          <w:color w:val="333333"/>
        </w:rPr>
        <w:t>equipment</w:t>
      </w:r>
      <w:r w:rsidR="00D47C9C">
        <w:rPr>
          <w:color w:val="333333"/>
        </w:rPr>
        <w:t xml:space="preserve"> (</w:t>
      </w:r>
      <w:r w:rsidR="00931957">
        <w:rPr>
          <w:color w:val="333333"/>
        </w:rPr>
        <w:t>for example</w:t>
      </w:r>
      <w:r w:rsidR="00D47C9C">
        <w:rPr>
          <w:color w:val="333333"/>
        </w:rPr>
        <w:t>, crutches)</w:t>
      </w:r>
      <w:r w:rsidR="00E6214C" w:rsidRPr="00EC42C4">
        <w:rPr>
          <w:color w:val="333333"/>
        </w:rPr>
        <w:t xml:space="preserve">. </w:t>
      </w:r>
      <w:r w:rsidR="007326C2" w:rsidRPr="00DC37E2">
        <w:t>In 2013</w:t>
      </w:r>
      <w:r w:rsidR="008662D0">
        <w:t xml:space="preserve">, respondents </w:t>
      </w:r>
      <w:r w:rsidR="007326C2" w:rsidRPr="00DC37E2">
        <w:t xml:space="preserve">were </w:t>
      </w:r>
      <w:r w:rsidR="008960F3">
        <w:t>expected</w:t>
      </w:r>
      <w:r w:rsidR="007326C2" w:rsidRPr="00DC37E2">
        <w:t xml:space="preserve"> to assess their difficulty while using their assistive </w:t>
      </w:r>
      <w:r w:rsidR="00BF04F9">
        <w:t>equipment</w:t>
      </w:r>
      <w:r w:rsidR="000E7F8A">
        <w:t>. I</w:t>
      </w:r>
      <w:r w:rsidR="007326C2" w:rsidRPr="00DC37E2">
        <w:t>n 2023</w:t>
      </w:r>
      <w:r w:rsidR="001616C5">
        <w:t xml:space="preserve">, respondents </w:t>
      </w:r>
      <w:r w:rsidR="007326C2" w:rsidRPr="00DC37E2">
        <w:t xml:space="preserve">were </w:t>
      </w:r>
      <w:r w:rsidR="008960F3">
        <w:t>expected</w:t>
      </w:r>
      <w:r w:rsidR="006E1511">
        <w:t xml:space="preserve"> to </w:t>
      </w:r>
      <w:r w:rsidR="001616C5">
        <w:t>assess their difficulty</w:t>
      </w:r>
      <w:r w:rsidR="000E7F8A">
        <w:t xml:space="preserve"> based on not using</w:t>
      </w:r>
      <w:r w:rsidR="006E1511">
        <w:t xml:space="preserve"> their assistive </w:t>
      </w:r>
      <w:r w:rsidR="00BF04F9">
        <w:t>equipment</w:t>
      </w:r>
      <w:r w:rsidR="007326C2" w:rsidRPr="00DC37E2">
        <w:t>.</w:t>
      </w:r>
    </w:p>
    <w:p w14:paraId="40DFC20C" w14:textId="74FB8BA9" w:rsidR="00FA197F" w:rsidRDefault="00FA197F" w:rsidP="00FA197F">
      <w:pPr>
        <w:numPr>
          <w:ilvl w:val="0"/>
          <w:numId w:val="23"/>
        </w:numPr>
        <w:spacing w:after="160" w:line="259" w:lineRule="auto"/>
        <w:rPr>
          <w:color w:val="333333"/>
        </w:rPr>
      </w:pPr>
      <w:r w:rsidRPr="00566284">
        <w:rPr>
          <w:color w:val="333333"/>
        </w:rPr>
        <w:t xml:space="preserve">The answer options </w:t>
      </w:r>
      <w:r>
        <w:rPr>
          <w:color w:val="333333"/>
        </w:rPr>
        <w:t xml:space="preserve">and threshold for disability </w:t>
      </w:r>
      <w:r w:rsidR="00F749D2">
        <w:rPr>
          <w:color w:val="333333"/>
        </w:rPr>
        <w:t>were</w:t>
      </w:r>
      <w:r w:rsidR="00F749D2" w:rsidRPr="00566284">
        <w:rPr>
          <w:color w:val="333333"/>
        </w:rPr>
        <w:t xml:space="preserve"> </w:t>
      </w:r>
      <w:r w:rsidRPr="00566284">
        <w:rPr>
          <w:color w:val="333333"/>
        </w:rPr>
        <w:t xml:space="preserve">different. </w:t>
      </w:r>
    </w:p>
    <w:p w14:paraId="63242824" w14:textId="787DDEB4" w:rsidR="00FA197F" w:rsidRPr="00566284" w:rsidRDefault="35B980BA" w:rsidP="3524BD2A">
      <w:pPr>
        <w:ind w:left="360"/>
        <w:rPr>
          <w:color w:val="333333"/>
        </w:rPr>
      </w:pPr>
      <w:r w:rsidRPr="3524BD2A">
        <w:rPr>
          <w:color w:val="333333"/>
        </w:rPr>
        <w:t xml:space="preserve">The 2023 HDS </w:t>
      </w:r>
      <w:r w:rsidR="7B886C10" w:rsidRPr="3524BD2A">
        <w:rPr>
          <w:color w:val="333333"/>
        </w:rPr>
        <w:t xml:space="preserve">made </w:t>
      </w:r>
      <w:r w:rsidRPr="3524BD2A">
        <w:rPr>
          <w:color w:val="333333"/>
        </w:rPr>
        <w:t>a greater distinction between levels of difficulty than previous surveys</w:t>
      </w:r>
      <w:r w:rsidR="5F411241" w:rsidRPr="3524BD2A">
        <w:rPr>
          <w:color w:val="333333"/>
        </w:rPr>
        <w:t>,</w:t>
      </w:r>
      <w:r w:rsidRPr="3524BD2A">
        <w:rPr>
          <w:color w:val="333333"/>
        </w:rPr>
        <w:t xml:space="preserve"> and </w:t>
      </w:r>
      <w:r w:rsidR="5F411241" w:rsidRPr="3524BD2A">
        <w:rPr>
          <w:color w:val="333333"/>
        </w:rPr>
        <w:t xml:space="preserve">it </w:t>
      </w:r>
      <w:r w:rsidRPr="3524BD2A">
        <w:rPr>
          <w:color w:val="333333"/>
        </w:rPr>
        <w:t>require</w:t>
      </w:r>
      <w:r w:rsidR="7B886C10" w:rsidRPr="3524BD2A">
        <w:rPr>
          <w:color w:val="333333"/>
        </w:rPr>
        <w:t>d</w:t>
      </w:r>
      <w:r w:rsidRPr="3524BD2A">
        <w:rPr>
          <w:color w:val="333333"/>
        </w:rPr>
        <w:t xml:space="preserve"> respondents to report higher levels of difficulty to be counted as a disabled person. Most screening questions in the 2023 HDS </w:t>
      </w:r>
      <w:r w:rsidR="7B886C10" w:rsidRPr="3524BD2A">
        <w:rPr>
          <w:color w:val="333333"/>
        </w:rPr>
        <w:t xml:space="preserve">had </w:t>
      </w:r>
      <w:r w:rsidRPr="3524BD2A">
        <w:rPr>
          <w:color w:val="333333"/>
        </w:rPr>
        <w:t xml:space="preserve">the answer options </w:t>
      </w:r>
      <w:r w:rsidR="17B751CD" w:rsidRPr="3524BD2A">
        <w:rPr>
          <w:color w:val="333333"/>
        </w:rPr>
        <w:t>‘</w:t>
      </w:r>
      <w:r w:rsidR="7B886C10" w:rsidRPr="3524BD2A">
        <w:rPr>
          <w:color w:val="333333"/>
        </w:rPr>
        <w:t>n</w:t>
      </w:r>
      <w:r w:rsidRPr="3524BD2A">
        <w:rPr>
          <w:color w:val="333333"/>
        </w:rPr>
        <w:t>o difficulty</w:t>
      </w:r>
      <w:r w:rsidR="17B751CD" w:rsidRPr="3524BD2A">
        <w:rPr>
          <w:color w:val="333333"/>
        </w:rPr>
        <w:t>’</w:t>
      </w:r>
      <w:r w:rsidR="7B886C10" w:rsidRPr="3524BD2A">
        <w:rPr>
          <w:color w:val="333333"/>
        </w:rPr>
        <w:t>,</w:t>
      </w:r>
      <w:r w:rsidRPr="3524BD2A">
        <w:rPr>
          <w:color w:val="333333"/>
        </w:rPr>
        <w:t xml:space="preserve"> </w:t>
      </w:r>
      <w:r w:rsidR="17B751CD" w:rsidRPr="3524BD2A">
        <w:rPr>
          <w:color w:val="333333"/>
        </w:rPr>
        <w:t>‘</w:t>
      </w:r>
      <w:r w:rsidR="7B886C10" w:rsidRPr="3524BD2A">
        <w:rPr>
          <w:color w:val="333333"/>
        </w:rPr>
        <w:t>s</w:t>
      </w:r>
      <w:r w:rsidRPr="3524BD2A">
        <w:rPr>
          <w:color w:val="333333"/>
        </w:rPr>
        <w:t>ome difficulty</w:t>
      </w:r>
      <w:r w:rsidR="17B751CD" w:rsidRPr="3524BD2A">
        <w:rPr>
          <w:color w:val="333333"/>
        </w:rPr>
        <w:t>’</w:t>
      </w:r>
      <w:r w:rsidR="7B886C10" w:rsidRPr="3524BD2A">
        <w:rPr>
          <w:color w:val="333333"/>
        </w:rPr>
        <w:t xml:space="preserve">, </w:t>
      </w:r>
      <w:r w:rsidR="17B751CD" w:rsidRPr="3524BD2A">
        <w:rPr>
          <w:color w:val="333333"/>
        </w:rPr>
        <w:t>‘</w:t>
      </w:r>
      <w:r w:rsidR="7B886C10" w:rsidRPr="3524BD2A">
        <w:rPr>
          <w:color w:val="333333"/>
        </w:rPr>
        <w:t>a</w:t>
      </w:r>
      <w:r w:rsidRPr="3524BD2A">
        <w:rPr>
          <w:color w:val="333333"/>
        </w:rPr>
        <w:t xml:space="preserve"> lot of difficulty</w:t>
      </w:r>
      <w:r w:rsidR="17B751CD" w:rsidRPr="3524BD2A">
        <w:rPr>
          <w:color w:val="333333"/>
        </w:rPr>
        <w:t>’</w:t>
      </w:r>
      <w:r w:rsidR="7B886C10" w:rsidRPr="3524BD2A">
        <w:rPr>
          <w:color w:val="333333"/>
        </w:rPr>
        <w:t>,</w:t>
      </w:r>
      <w:r w:rsidRPr="3524BD2A">
        <w:rPr>
          <w:color w:val="333333"/>
        </w:rPr>
        <w:t xml:space="preserve"> </w:t>
      </w:r>
      <w:r w:rsidR="7B886C10" w:rsidRPr="3524BD2A">
        <w:rPr>
          <w:color w:val="333333"/>
        </w:rPr>
        <w:t xml:space="preserve">and </w:t>
      </w:r>
      <w:r w:rsidR="17B751CD" w:rsidRPr="3524BD2A">
        <w:rPr>
          <w:color w:val="333333"/>
        </w:rPr>
        <w:t>‘</w:t>
      </w:r>
      <w:r w:rsidR="7B886C10" w:rsidRPr="3524BD2A">
        <w:rPr>
          <w:color w:val="333333"/>
        </w:rPr>
        <w:t>c</w:t>
      </w:r>
      <w:r w:rsidRPr="3524BD2A">
        <w:rPr>
          <w:color w:val="333333"/>
        </w:rPr>
        <w:t>annot do at all</w:t>
      </w:r>
      <w:r w:rsidR="17B751CD" w:rsidRPr="3524BD2A">
        <w:rPr>
          <w:color w:val="333333"/>
        </w:rPr>
        <w:t>’</w:t>
      </w:r>
      <w:r w:rsidRPr="3524BD2A">
        <w:rPr>
          <w:color w:val="333333"/>
        </w:rPr>
        <w:t xml:space="preserve">. The 2013 and prior surveys used the answer options </w:t>
      </w:r>
      <w:r w:rsidR="5EA210E9" w:rsidRPr="3524BD2A">
        <w:rPr>
          <w:color w:val="333333"/>
        </w:rPr>
        <w:t>‘</w:t>
      </w:r>
      <w:r w:rsidR="7B886C10" w:rsidRPr="3524BD2A">
        <w:rPr>
          <w:color w:val="333333"/>
        </w:rPr>
        <w:t>e</w:t>
      </w:r>
      <w:r w:rsidRPr="3524BD2A">
        <w:rPr>
          <w:color w:val="333333"/>
        </w:rPr>
        <w:t>asily</w:t>
      </w:r>
      <w:r w:rsidR="5EA210E9" w:rsidRPr="3524BD2A">
        <w:rPr>
          <w:color w:val="333333"/>
        </w:rPr>
        <w:t>’</w:t>
      </w:r>
      <w:r w:rsidR="7B886C10" w:rsidRPr="3524BD2A">
        <w:rPr>
          <w:color w:val="333333"/>
        </w:rPr>
        <w:t xml:space="preserve">, </w:t>
      </w:r>
      <w:r w:rsidR="5EA210E9" w:rsidRPr="3524BD2A">
        <w:rPr>
          <w:color w:val="333333"/>
        </w:rPr>
        <w:t>‘</w:t>
      </w:r>
      <w:r w:rsidR="7B886C10" w:rsidRPr="3524BD2A">
        <w:rPr>
          <w:color w:val="333333"/>
        </w:rPr>
        <w:t>w</w:t>
      </w:r>
      <w:r w:rsidRPr="3524BD2A">
        <w:rPr>
          <w:color w:val="333333"/>
        </w:rPr>
        <w:t>ith difficulty</w:t>
      </w:r>
      <w:r w:rsidR="5EA210E9" w:rsidRPr="3524BD2A">
        <w:rPr>
          <w:color w:val="333333"/>
        </w:rPr>
        <w:t>’</w:t>
      </w:r>
      <w:r w:rsidR="7B886C10" w:rsidRPr="3524BD2A">
        <w:rPr>
          <w:color w:val="333333"/>
        </w:rPr>
        <w:t xml:space="preserve">, and </w:t>
      </w:r>
      <w:r w:rsidR="5EA210E9" w:rsidRPr="3524BD2A">
        <w:rPr>
          <w:color w:val="333333"/>
        </w:rPr>
        <w:t>‘</w:t>
      </w:r>
      <w:r w:rsidR="7B886C10" w:rsidRPr="3524BD2A">
        <w:rPr>
          <w:color w:val="333333"/>
        </w:rPr>
        <w:t>n</w:t>
      </w:r>
      <w:r w:rsidRPr="3524BD2A">
        <w:rPr>
          <w:color w:val="333333"/>
        </w:rPr>
        <w:t>ot at all</w:t>
      </w:r>
      <w:r w:rsidR="5EA210E9" w:rsidRPr="3524BD2A">
        <w:rPr>
          <w:color w:val="333333"/>
        </w:rPr>
        <w:t>’</w:t>
      </w:r>
      <w:r w:rsidRPr="3524BD2A">
        <w:rPr>
          <w:color w:val="333333"/>
        </w:rPr>
        <w:t xml:space="preserve">. </w:t>
      </w:r>
    </w:p>
    <w:p w14:paraId="4F7EE82F" w14:textId="1254BE1C" w:rsidR="00B671AD" w:rsidRDefault="35B980BA" w:rsidP="3524BD2A">
      <w:pPr>
        <w:ind w:left="360"/>
        <w:rPr>
          <w:color w:val="333333"/>
        </w:rPr>
      </w:pPr>
      <w:r w:rsidRPr="3524BD2A">
        <w:rPr>
          <w:color w:val="333333"/>
        </w:rPr>
        <w:t>The 2023 survey differentiate</w:t>
      </w:r>
      <w:r w:rsidR="7B886C10" w:rsidRPr="3524BD2A">
        <w:rPr>
          <w:color w:val="333333"/>
        </w:rPr>
        <w:t>d</w:t>
      </w:r>
      <w:r w:rsidRPr="3524BD2A">
        <w:rPr>
          <w:color w:val="333333"/>
        </w:rPr>
        <w:t xml:space="preserve"> between people who reported </w:t>
      </w:r>
      <w:r w:rsidR="723A8EA6" w:rsidRPr="3524BD2A">
        <w:rPr>
          <w:color w:val="333333"/>
        </w:rPr>
        <w:t>‘</w:t>
      </w:r>
      <w:r w:rsidRPr="3524BD2A">
        <w:rPr>
          <w:color w:val="333333"/>
        </w:rPr>
        <w:t>some difficulty</w:t>
      </w:r>
      <w:r w:rsidR="723A8EA6" w:rsidRPr="3524BD2A">
        <w:rPr>
          <w:color w:val="333333"/>
        </w:rPr>
        <w:t>’</w:t>
      </w:r>
      <w:r w:rsidRPr="3524BD2A">
        <w:rPr>
          <w:color w:val="333333"/>
        </w:rPr>
        <w:t xml:space="preserve"> and those who reported </w:t>
      </w:r>
      <w:r w:rsidR="7B886C10" w:rsidRPr="3524BD2A">
        <w:rPr>
          <w:color w:val="333333"/>
        </w:rPr>
        <w:t>‘</w:t>
      </w:r>
      <w:r w:rsidRPr="3524BD2A">
        <w:rPr>
          <w:color w:val="333333"/>
        </w:rPr>
        <w:t>a lot of difficulty</w:t>
      </w:r>
      <w:r w:rsidR="723A8EA6" w:rsidRPr="3524BD2A">
        <w:rPr>
          <w:color w:val="333333"/>
        </w:rPr>
        <w:t>’</w:t>
      </w:r>
      <w:r w:rsidR="6708CE16" w:rsidRPr="3524BD2A">
        <w:rPr>
          <w:color w:val="333333"/>
        </w:rPr>
        <w:t>,</w:t>
      </w:r>
      <w:r w:rsidRPr="3524BD2A">
        <w:rPr>
          <w:color w:val="333333"/>
        </w:rPr>
        <w:t xml:space="preserve"> whereas in 2013 these </w:t>
      </w:r>
      <w:r w:rsidR="193AF6BD" w:rsidRPr="3524BD2A">
        <w:rPr>
          <w:color w:val="333333"/>
        </w:rPr>
        <w:t xml:space="preserve">differing </w:t>
      </w:r>
      <w:r w:rsidRPr="3524BD2A">
        <w:rPr>
          <w:color w:val="333333"/>
        </w:rPr>
        <w:t>levels of difficulty were grouped together</w:t>
      </w:r>
      <w:r w:rsidR="492B51BC" w:rsidRPr="3524BD2A">
        <w:rPr>
          <w:color w:val="333333"/>
        </w:rPr>
        <w:t xml:space="preserve"> </w:t>
      </w:r>
      <w:r w:rsidR="193AF6BD" w:rsidRPr="3524BD2A">
        <w:rPr>
          <w:color w:val="333333"/>
        </w:rPr>
        <w:t>as</w:t>
      </w:r>
      <w:r w:rsidR="492B51BC" w:rsidRPr="3524BD2A">
        <w:rPr>
          <w:color w:val="333333"/>
        </w:rPr>
        <w:t xml:space="preserve"> </w:t>
      </w:r>
      <w:r w:rsidR="7B886C10" w:rsidRPr="3524BD2A">
        <w:rPr>
          <w:color w:val="333333"/>
        </w:rPr>
        <w:t>‘</w:t>
      </w:r>
      <w:r w:rsidR="492B51BC" w:rsidRPr="3524BD2A">
        <w:rPr>
          <w:color w:val="333333"/>
        </w:rPr>
        <w:t>with difficulty</w:t>
      </w:r>
      <w:r w:rsidR="7B886C10" w:rsidRPr="3524BD2A">
        <w:rPr>
          <w:color w:val="333333"/>
        </w:rPr>
        <w:t xml:space="preserve">’. </w:t>
      </w:r>
    </w:p>
    <w:p w14:paraId="29B46B8C" w14:textId="0E2ECFFB" w:rsidR="005D5663" w:rsidRDefault="35B980BA" w:rsidP="3524BD2A">
      <w:pPr>
        <w:ind w:left="360"/>
        <w:rPr>
          <w:color w:val="333333"/>
        </w:rPr>
      </w:pPr>
      <w:r w:rsidRPr="3524BD2A">
        <w:rPr>
          <w:color w:val="333333"/>
        </w:rPr>
        <w:t xml:space="preserve">In 2023, a person needed to say </w:t>
      </w:r>
      <w:r w:rsidR="723A8EA6" w:rsidRPr="3524BD2A">
        <w:rPr>
          <w:color w:val="333333"/>
        </w:rPr>
        <w:t>‘</w:t>
      </w:r>
      <w:r w:rsidRPr="3524BD2A">
        <w:rPr>
          <w:color w:val="333333"/>
        </w:rPr>
        <w:t>a lot of difficulty</w:t>
      </w:r>
      <w:r w:rsidR="723A8EA6" w:rsidRPr="3524BD2A">
        <w:rPr>
          <w:color w:val="333333"/>
        </w:rPr>
        <w:t xml:space="preserve">’ </w:t>
      </w:r>
      <w:r w:rsidRPr="3524BD2A">
        <w:rPr>
          <w:color w:val="333333"/>
        </w:rPr>
        <w:t xml:space="preserve">or </w:t>
      </w:r>
      <w:r w:rsidR="723A8EA6" w:rsidRPr="3524BD2A">
        <w:rPr>
          <w:color w:val="333333"/>
        </w:rPr>
        <w:t>‘</w:t>
      </w:r>
      <w:r w:rsidRPr="3524BD2A">
        <w:rPr>
          <w:color w:val="333333"/>
        </w:rPr>
        <w:t>cannot do at all</w:t>
      </w:r>
      <w:r w:rsidR="723A8EA6" w:rsidRPr="3524BD2A">
        <w:rPr>
          <w:color w:val="333333"/>
        </w:rPr>
        <w:t xml:space="preserve">’ </w:t>
      </w:r>
      <w:r w:rsidRPr="3524BD2A">
        <w:rPr>
          <w:color w:val="333333"/>
        </w:rPr>
        <w:t xml:space="preserve">to be counted as disabled. In 2013, they needed to </w:t>
      </w:r>
      <w:proofErr w:type="gramStart"/>
      <w:r w:rsidRPr="3524BD2A">
        <w:rPr>
          <w:color w:val="333333"/>
        </w:rPr>
        <w:t>say</w:t>
      </w:r>
      <w:proofErr w:type="gramEnd"/>
      <w:r w:rsidRPr="3524BD2A">
        <w:rPr>
          <w:color w:val="333333"/>
        </w:rPr>
        <w:t xml:space="preserve"> </w:t>
      </w:r>
      <w:r w:rsidR="723A8EA6" w:rsidRPr="3524BD2A">
        <w:rPr>
          <w:color w:val="333333"/>
        </w:rPr>
        <w:t>‘</w:t>
      </w:r>
      <w:r w:rsidRPr="3524BD2A">
        <w:rPr>
          <w:color w:val="333333"/>
        </w:rPr>
        <w:t>with difficulty</w:t>
      </w:r>
      <w:r w:rsidR="723A8EA6" w:rsidRPr="3524BD2A">
        <w:rPr>
          <w:color w:val="333333"/>
        </w:rPr>
        <w:t>’</w:t>
      </w:r>
      <w:r w:rsidRPr="3524BD2A">
        <w:rPr>
          <w:color w:val="333333"/>
        </w:rPr>
        <w:t xml:space="preserve"> or </w:t>
      </w:r>
      <w:r w:rsidR="723A8EA6" w:rsidRPr="3524BD2A">
        <w:rPr>
          <w:color w:val="333333"/>
        </w:rPr>
        <w:t>‘</w:t>
      </w:r>
      <w:r w:rsidRPr="3524BD2A">
        <w:rPr>
          <w:color w:val="333333"/>
        </w:rPr>
        <w:t>not at all</w:t>
      </w:r>
      <w:r w:rsidR="723A8EA6" w:rsidRPr="3524BD2A">
        <w:rPr>
          <w:color w:val="333333"/>
        </w:rPr>
        <w:t xml:space="preserve">’. </w:t>
      </w:r>
      <w:r w:rsidR="65FC10E5" w:rsidRPr="3524BD2A">
        <w:rPr>
          <w:color w:val="333333"/>
        </w:rPr>
        <w:t xml:space="preserve">The </w:t>
      </w:r>
      <w:r w:rsidR="3E90FCE3" w:rsidRPr="3524BD2A">
        <w:rPr>
          <w:color w:val="333333"/>
        </w:rPr>
        <w:t xml:space="preserve">all-encompassing </w:t>
      </w:r>
      <w:r w:rsidR="723A8EA6" w:rsidRPr="3524BD2A">
        <w:rPr>
          <w:color w:val="333333"/>
        </w:rPr>
        <w:t>‘</w:t>
      </w:r>
      <w:r w:rsidR="65FC10E5" w:rsidRPr="3524BD2A">
        <w:rPr>
          <w:color w:val="333333"/>
        </w:rPr>
        <w:t>with difficulty</w:t>
      </w:r>
      <w:r w:rsidR="723A8EA6" w:rsidRPr="3524BD2A">
        <w:rPr>
          <w:color w:val="333333"/>
        </w:rPr>
        <w:t xml:space="preserve">’ </w:t>
      </w:r>
      <w:r w:rsidR="65FC10E5" w:rsidRPr="3524BD2A">
        <w:rPr>
          <w:color w:val="333333"/>
        </w:rPr>
        <w:t>answer option</w:t>
      </w:r>
      <w:r w:rsidR="193AF6BD" w:rsidRPr="3524BD2A">
        <w:rPr>
          <w:color w:val="333333"/>
        </w:rPr>
        <w:t xml:space="preserve"> </w:t>
      </w:r>
      <w:r w:rsidR="65FC10E5" w:rsidRPr="3524BD2A">
        <w:rPr>
          <w:color w:val="333333"/>
        </w:rPr>
        <w:t xml:space="preserve">used in </w:t>
      </w:r>
      <w:r w:rsidR="3966DD9A" w:rsidRPr="3524BD2A">
        <w:rPr>
          <w:color w:val="333333"/>
        </w:rPr>
        <w:t>2013</w:t>
      </w:r>
      <w:r w:rsidR="65FC10E5" w:rsidRPr="3524BD2A">
        <w:rPr>
          <w:color w:val="333333"/>
        </w:rPr>
        <w:t xml:space="preserve"> allowed people with lower levels of difficulty to be counted as disabled. </w:t>
      </w:r>
    </w:p>
    <w:p w14:paraId="7D24C87D" w14:textId="7CD2A8FE" w:rsidR="00FA197F" w:rsidRDefault="35B980BA" w:rsidP="3524BD2A">
      <w:pPr>
        <w:ind w:left="360"/>
        <w:rPr>
          <w:color w:val="333333"/>
        </w:rPr>
      </w:pPr>
      <w:r w:rsidRPr="3524BD2A">
        <w:rPr>
          <w:color w:val="333333"/>
        </w:rPr>
        <w:t>T</w:t>
      </w:r>
      <w:r w:rsidR="6708CE16" w:rsidRPr="3524BD2A">
        <w:rPr>
          <w:color w:val="333333"/>
        </w:rPr>
        <w:t>herefore, t</w:t>
      </w:r>
      <w:r w:rsidRPr="3524BD2A">
        <w:rPr>
          <w:color w:val="333333"/>
        </w:rPr>
        <w:t xml:space="preserve">he threshold at which a person </w:t>
      </w:r>
      <w:r w:rsidR="1711251F" w:rsidRPr="3524BD2A">
        <w:rPr>
          <w:color w:val="333333"/>
        </w:rPr>
        <w:t>wa</w:t>
      </w:r>
      <w:r w:rsidRPr="3524BD2A">
        <w:rPr>
          <w:color w:val="333333"/>
        </w:rPr>
        <w:t xml:space="preserve">s counted as disabled </w:t>
      </w:r>
      <w:r w:rsidR="2FAD3B43" w:rsidRPr="3524BD2A">
        <w:rPr>
          <w:color w:val="333333"/>
        </w:rPr>
        <w:t xml:space="preserve">was </w:t>
      </w:r>
      <w:r w:rsidRPr="3524BD2A">
        <w:rPr>
          <w:color w:val="333333"/>
        </w:rPr>
        <w:t>effectively set higher in 2023 than in previous surveys</w:t>
      </w:r>
      <w:r w:rsidR="3966DD9A" w:rsidRPr="3524BD2A">
        <w:rPr>
          <w:color w:val="333333"/>
        </w:rPr>
        <w:t xml:space="preserve"> because people with lower levels of difficulty</w:t>
      </w:r>
      <w:r w:rsidR="6C65DBBA" w:rsidRPr="3524BD2A">
        <w:rPr>
          <w:color w:val="333333"/>
        </w:rPr>
        <w:t xml:space="preserve"> could </w:t>
      </w:r>
      <w:r w:rsidR="3966DD9A" w:rsidRPr="3524BD2A">
        <w:rPr>
          <w:color w:val="333333"/>
        </w:rPr>
        <w:t>no longer be counted as disabled</w:t>
      </w:r>
      <w:r w:rsidRPr="3524BD2A">
        <w:rPr>
          <w:color w:val="333333"/>
        </w:rPr>
        <w:t xml:space="preserve">. </w:t>
      </w:r>
    </w:p>
    <w:p w14:paraId="072C5455" w14:textId="257341FF" w:rsidR="00FA197F" w:rsidRPr="001C3C2C" w:rsidRDefault="35B980BA" w:rsidP="3524BD2A">
      <w:pPr>
        <w:rPr>
          <w:color w:val="333333"/>
        </w:rPr>
      </w:pPr>
      <w:r w:rsidRPr="3524BD2A">
        <w:rPr>
          <w:color w:val="333333"/>
        </w:rPr>
        <w:t xml:space="preserve">Because the measurement tool changed, the group of people counted as disabled in the 2023 HDS </w:t>
      </w:r>
      <w:r w:rsidR="21F016C1" w:rsidRPr="3524BD2A">
        <w:rPr>
          <w:color w:val="333333"/>
        </w:rPr>
        <w:t xml:space="preserve">were </w:t>
      </w:r>
      <w:r w:rsidRPr="3524BD2A">
        <w:rPr>
          <w:color w:val="333333"/>
        </w:rPr>
        <w:t xml:space="preserve">not defined in the same way </w:t>
      </w:r>
      <w:r w:rsidR="40789823" w:rsidRPr="3524BD2A">
        <w:rPr>
          <w:color w:val="333333"/>
        </w:rPr>
        <w:t xml:space="preserve">as </w:t>
      </w:r>
      <w:r w:rsidRPr="3524BD2A">
        <w:rPr>
          <w:color w:val="333333"/>
        </w:rPr>
        <w:t xml:space="preserve">in previous surveys. This means the 2023 results cannot be meaningfully compared </w:t>
      </w:r>
      <w:r w:rsidR="5D69C0BD" w:rsidRPr="3524BD2A">
        <w:rPr>
          <w:color w:val="333333"/>
        </w:rPr>
        <w:t>with</w:t>
      </w:r>
      <w:r w:rsidRPr="3524BD2A">
        <w:rPr>
          <w:color w:val="333333"/>
        </w:rPr>
        <w:t xml:space="preserve"> results from previous N</w:t>
      </w:r>
      <w:r w:rsidR="5D69C0BD" w:rsidRPr="3524BD2A">
        <w:rPr>
          <w:color w:val="333333"/>
        </w:rPr>
        <w:t xml:space="preserve">ew </w:t>
      </w:r>
      <w:r w:rsidRPr="3524BD2A">
        <w:rPr>
          <w:color w:val="333333"/>
        </w:rPr>
        <w:t>Z</w:t>
      </w:r>
      <w:r w:rsidR="5D69C0BD" w:rsidRPr="3524BD2A">
        <w:rPr>
          <w:color w:val="333333"/>
        </w:rPr>
        <w:t>ealand</w:t>
      </w:r>
      <w:r w:rsidRPr="3524BD2A">
        <w:rPr>
          <w:color w:val="333333"/>
        </w:rPr>
        <w:t xml:space="preserve"> disability surveys.</w:t>
      </w:r>
      <w:r w:rsidR="5D3B6FF3" w:rsidRPr="3524BD2A">
        <w:rPr>
          <w:color w:val="333333"/>
        </w:rPr>
        <w:t xml:space="preserve"> </w:t>
      </w:r>
    </w:p>
    <w:p w14:paraId="1D03DD73" w14:textId="01FBE408" w:rsidR="00E21C03" w:rsidRPr="00FA197F" w:rsidRDefault="35B980BA" w:rsidP="3524BD2A">
      <w:pPr>
        <w:rPr>
          <w:color w:val="333333"/>
        </w:rPr>
      </w:pPr>
      <w:r w:rsidRPr="3524BD2A">
        <w:rPr>
          <w:color w:val="333333"/>
        </w:rPr>
        <w:t>No single method for defining and counting disabled people in data collections can address all information needs.</w:t>
      </w:r>
      <w:r w:rsidR="5D3B6FF3" w:rsidRPr="3524BD2A">
        <w:rPr>
          <w:color w:val="333333"/>
        </w:rPr>
        <w:t xml:space="preserve"> </w:t>
      </w:r>
      <w:r w:rsidRPr="3524BD2A">
        <w:rPr>
          <w:color w:val="333333"/>
        </w:rPr>
        <w:t>The Washin</w:t>
      </w:r>
      <w:r w:rsidR="47289D6A" w:rsidRPr="3524BD2A">
        <w:rPr>
          <w:color w:val="333333"/>
        </w:rPr>
        <w:t>g</w:t>
      </w:r>
      <w:r w:rsidRPr="3524BD2A">
        <w:rPr>
          <w:color w:val="333333"/>
        </w:rPr>
        <w:t>ton Group</w:t>
      </w:r>
      <w:r w:rsidR="2D8FBE45" w:rsidRPr="3524BD2A">
        <w:rPr>
          <w:color w:val="333333"/>
        </w:rPr>
        <w:t>’s</w:t>
      </w:r>
      <w:r w:rsidRPr="3524BD2A">
        <w:rPr>
          <w:color w:val="333333"/>
        </w:rPr>
        <w:t xml:space="preserve"> approach to disability measurement </w:t>
      </w:r>
      <w:r w:rsidR="652673EF" w:rsidRPr="3524BD2A">
        <w:rPr>
          <w:color w:val="333333"/>
        </w:rPr>
        <w:t>wa</w:t>
      </w:r>
      <w:r w:rsidRPr="3524BD2A">
        <w:rPr>
          <w:color w:val="333333"/>
        </w:rPr>
        <w:t>s considered to represent the most appropriate tool for a population survey of this type and the questions used in the 2023 HDS were believed to provide a more useful count of disabled people than those used in previous N</w:t>
      </w:r>
      <w:r w:rsidR="53443F7F" w:rsidRPr="3524BD2A">
        <w:rPr>
          <w:color w:val="333333"/>
        </w:rPr>
        <w:t xml:space="preserve">ew </w:t>
      </w:r>
      <w:r w:rsidRPr="3524BD2A">
        <w:rPr>
          <w:color w:val="333333"/>
        </w:rPr>
        <w:t>Z</w:t>
      </w:r>
      <w:r w:rsidR="53443F7F" w:rsidRPr="3524BD2A">
        <w:rPr>
          <w:color w:val="333333"/>
        </w:rPr>
        <w:t>ealand</w:t>
      </w:r>
      <w:r w:rsidRPr="3524BD2A">
        <w:rPr>
          <w:color w:val="333333"/>
        </w:rPr>
        <w:t xml:space="preserve"> disability surveys.</w:t>
      </w:r>
      <w:r w:rsidR="5D3B6FF3" w:rsidRPr="3524BD2A">
        <w:rPr>
          <w:color w:val="333333"/>
        </w:rPr>
        <w:t xml:space="preserve"> </w:t>
      </w:r>
    </w:p>
    <w:bookmarkEnd w:id="4"/>
    <w:p w14:paraId="13F166D6" w14:textId="65762BD2" w:rsidR="00BA1D46" w:rsidRDefault="00BA1D46" w:rsidP="0029537A">
      <w:pPr>
        <w:spacing w:after="160" w:line="259" w:lineRule="auto"/>
      </w:pPr>
    </w:p>
    <w:sectPr w:rsidR="00BA1D46" w:rsidSect="002E1C1B">
      <w:footerReference w:type="first" r:id="rId60"/>
      <w:pgSz w:w="11906" w:h="16838" w:code="9"/>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67AD" w14:textId="77777777" w:rsidR="00B359DA" w:rsidRDefault="00B359DA" w:rsidP="00940BE2">
      <w:pPr>
        <w:spacing w:after="0"/>
      </w:pPr>
      <w:r>
        <w:separator/>
      </w:r>
    </w:p>
  </w:endnote>
  <w:endnote w:type="continuationSeparator" w:id="0">
    <w:p w14:paraId="0744F554" w14:textId="77777777" w:rsidR="00B359DA" w:rsidRDefault="00B359DA" w:rsidP="00940BE2">
      <w:pPr>
        <w:spacing w:after="0"/>
      </w:pPr>
      <w:r>
        <w:continuationSeparator/>
      </w:r>
    </w:p>
  </w:endnote>
  <w:endnote w:type="continuationNotice" w:id="1">
    <w:p w14:paraId="1DF5BBAC" w14:textId="77777777" w:rsidR="00B359DA" w:rsidRDefault="00B35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egular Semibold">
    <w:altName w:val="Trebuchet MS"/>
    <w:panose1 w:val="00000000000000000000"/>
    <w:charset w:val="00"/>
    <w:family w:val="modern"/>
    <w:notTrueType/>
    <w:pitch w:val="variable"/>
    <w:sig w:usb0="A00000AF" w:usb1="5000205B" w:usb2="00000000" w:usb3="00000000" w:csb0="00000093" w:csb1="00000000"/>
  </w:font>
  <w:font w:name="Regular Medium">
    <w:altName w:val="Trebuchet MS"/>
    <w:panose1 w:val="00000000000000000000"/>
    <w:charset w:val="00"/>
    <w:family w:val="modern"/>
    <w:notTrueType/>
    <w:pitch w:val="variable"/>
    <w:sig w:usb0="A00000AF" w:usb1="4000205B"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5842" w14:textId="77777777" w:rsidR="00DF3B7F" w:rsidRDefault="00DF3B7F">
    <w:pPr>
      <w:pStyle w:val="Footer"/>
      <w:jc w:val="center"/>
    </w:pPr>
    <w:r>
      <w:fldChar w:fldCharType="begin"/>
    </w:r>
    <w:r>
      <w:instrText xml:space="preserve"> PAGE   \* MERGEFORMAT </w:instrText>
    </w:r>
    <w:r>
      <w:fldChar w:fldCharType="separate"/>
    </w:r>
    <w:r>
      <w:rPr>
        <w:noProof/>
      </w:rPr>
      <w:t>8</w:t>
    </w:r>
    <w:r>
      <w:rPr>
        <w:noProof/>
      </w:rPr>
      <w:fldChar w:fldCharType="end"/>
    </w:r>
  </w:p>
  <w:p w14:paraId="74DFD19C" w14:textId="77777777" w:rsidR="00DF3B7F" w:rsidRDefault="00DF3B7F">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107B" w14:textId="437882F1" w:rsidR="00DF3B7F" w:rsidRDefault="79633E6C" w:rsidP="79633E6C">
    <w:pPr>
      <w:spacing w:after="0"/>
      <w:jc w:val="right"/>
    </w:pPr>
    <w:r>
      <w:rPr>
        <w:noProof/>
      </w:rPr>
      <w:drawing>
        <wp:inline distT="0" distB="0" distL="0" distR="0" wp14:anchorId="0DC217F1" wp14:editId="37902BC4">
          <wp:extent cx="2085975" cy="647522"/>
          <wp:effectExtent l="0" t="0" r="0" b="0"/>
          <wp:docPr id="736267935" name="Picture 73626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6475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78DC" w14:textId="548710A8" w:rsidR="79633E6C" w:rsidRDefault="79633E6C" w:rsidP="79633E6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633E6C" w14:paraId="4F758739" w14:textId="77777777" w:rsidTr="79633E6C">
      <w:trPr>
        <w:trHeight w:val="300"/>
      </w:trPr>
      <w:tc>
        <w:tcPr>
          <w:tcW w:w="3005" w:type="dxa"/>
        </w:tcPr>
        <w:p w14:paraId="13B780F7" w14:textId="1866A88A" w:rsidR="79633E6C" w:rsidRDefault="79633E6C" w:rsidP="79633E6C">
          <w:pPr>
            <w:pStyle w:val="Header"/>
            <w:ind w:left="-115"/>
          </w:pPr>
        </w:p>
      </w:tc>
      <w:tc>
        <w:tcPr>
          <w:tcW w:w="3005" w:type="dxa"/>
        </w:tcPr>
        <w:p w14:paraId="424E5334" w14:textId="0F1CA21B" w:rsidR="79633E6C" w:rsidRDefault="79633E6C" w:rsidP="79633E6C">
          <w:pPr>
            <w:pStyle w:val="Header"/>
            <w:jc w:val="center"/>
          </w:pPr>
        </w:p>
      </w:tc>
      <w:tc>
        <w:tcPr>
          <w:tcW w:w="3005" w:type="dxa"/>
        </w:tcPr>
        <w:p w14:paraId="588E5364" w14:textId="431281FC" w:rsidR="79633E6C" w:rsidRDefault="79633E6C" w:rsidP="79633E6C">
          <w:pPr>
            <w:pStyle w:val="Header"/>
            <w:ind w:right="-115"/>
            <w:jc w:val="right"/>
          </w:pPr>
        </w:p>
      </w:tc>
    </w:tr>
  </w:tbl>
  <w:p w14:paraId="747BBCAA" w14:textId="5FF37494" w:rsidR="79633E6C" w:rsidRDefault="79633E6C" w:rsidP="79633E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EB72" w14:textId="77777777" w:rsidR="00DF3B7F" w:rsidRPr="006664A8" w:rsidRDefault="00DF3B7F" w:rsidP="00BA1D46">
    <w:pPr>
      <w:pStyle w:val="Footerpagenumber"/>
    </w:pPr>
    <w:r w:rsidRPr="006664A8">
      <w:fldChar w:fldCharType="begin"/>
    </w:r>
    <w:r w:rsidRPr="006664A8">
      <w:instrText xml:space="preserve"> PAGE   \* MERGEFORMAT </w:instrText>
    </w:r>
    <w:r w:rsidRPr="006664A8">
      <w:fldChar w:fldCharType="separate"/>
    </w:r>
    <w:r>
      <w:rPr>
        <w:noProof/>
      </w:rPr>
      <w:t>10</w:t>
    </w:r>
    <w:r w:rsidRPr="006664A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633E6C" w14:paraId="428ABF59" w14:textId="77777777" w:rsidTr="79633E6C">
      <w:trPr>
        <w:trHeight w:val="300"/>
      </w:trPr>
      <w:tc>
        <w:tcPr>
          <w:tcW w:w="3005" w:type="dxa"/>
        </w:tcPr>
        <w:p w14:paraId="205ED9A8" w14:textId="50D6A864" w:rsidR="79633E6C" w:rsidRDefault="79633E6C" w:rsidP="79633E6C">
          <w:pPr>
            <w:pStyle w:val="Header"/>
            <w:ind w:left="-115"/>
          </w:pPr>
        </w:p>
      </w:tc>
      <w:tc>
        <w:tcPr>
          <w:tcW w:w="3005" w:type="dxa"/>
        </w:tcPr>
        <w:p w14:paraId="58C06768" w14:textId="2301C981" w:rsidR="79633E6C" w:rsidRDefault="79633E6C" w:rsidP="79633E6C">
          <w:pPr>
            <w:pStyle w:val="Header"/>
            <w:jc w:val="center"/>
          </w:pPr>
        </w:p>
      </w:tc>
      <w:tc>
        <w:tcPr>
          <w:tcW w:w="3005" w:type="dxa"/>
        </w:tcPr>
        <w:p w14:paraId="6BDF8F47" w14:textId="5B3385B8" w:rsidR="79633E6C" w:rsidRDefault="79633E6C" w:rsidP="79633E6C">
          <w:pPr>
            <w:pStyle w:val="Header"/>
            <w:ind w:right="-115"/>
            <w:jc w:val="right"/>
          </w:pPr>
        </w:p>
      </w:tc>
    </w:tr>
  </w:tbl>
  <w:p w14:paraId="442C0B09" w14:textId="4CCFB526" w:rsidR="79633E6C" w:rsidRDefault="79633E6C" w:rsidP="79633E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633E6C" w14:paraId="66A028E0" w14:textId="77777777" w:rsidTr="79633E6C">
      <w:trPr>
        <w:trHeight w:val="300"/>
      </w:trPr>
      <w:tc>
        <w:tcPr>
          <w:tcW w:w="3005" w:type="dxa"/>
        </w:tcPr>
        <w:p w14:paraId="3C9D5301" w14:textId="38E513C6" w:rsidR="79633E6C" w:rsidRDefault="79633E6C" w:rsidP="79633E6C">
          <w:pPr>
            <w:pStyle w:val="Header"/>
            <w:ind w:left="-115"/>
          </w:pPr>
        </w:p>
      </w:tc>
      <w:tc>
        <w:tcPr>
          <w:tcW w:w="3005" w:type="dxa"/>
        </w:tcPr>
        <w:p w14:paraId="3C83AE44" w14:textId="195F3C01" w:rsidR="79633E6C" w:rsidRDefault="79633E6C" w:rsidP="79633E6C">
          <w:pPr>
            <w:pStyle w:val="Header"/>
            <w:jc w:val="center"/>
          </w:pPr>
        </w:p>
      </w:tc>
      <w:tc>
        <w:tcPr>
          <w:tcW w:w="3005" w:type="dxa"/>
        </w:tcPr>
        <w:p w14:paraId="0940C269" w14:textId="2C159803" w:rsidR="79633E6C" w:rsidRDefault="79633E6C" w:rsidP="79633E6C">
          <w:pPr>
            <w:pStyle w:val="Header"/>
            <w:ind w:right="-115"/>
            <w:jc w:val="right"/>
          </w:pPr>
        </w:p>
      </w:tc>
    </w:tr>
  </w:tbl>
  <w:p w14:paraId="5F1810AC" w14:textId="42236770" w:rsidR="79633E6C" w:rsidRDefault="79633E6C" w:rsidP="79633E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0AFB" w14:textId="77777777" w:rsidR="00DF3B7F" w:rsidRDefault="00DF3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0A78" w14:textId="77777777" w:rsidR="00B359DA" w:rsidRDefault="00B359DA" w:rsidP="00940BE2">
      <w:pPr>
        <w:spacing w:after="0"/>
      </w:pPr>
      <w:r>
        <w:separator/>
      </w:r>
    </w:p>
  </w:footnote>
  <w:footnote w:type="continuationSeparator" w:id="0">
    <w:p w14:paraId="7F35A285" w14:textId="77777777" w:rsidR="00B359DA" w:rsidRDefault="00B359DA" w:rsidP="00940BE2">
      <w:pPr>
        <w:spacing w:after="0"/>
      </w:pPr>
      <w:r>
        <w:continuationSeparator/>
      </w:r>
    </w:p>
  </w:footnote>
  <w:footnote w:type="continuationNotice" w:id="1">
    <w:p w14:paraId="3254FA4D" w14:textId="77777777" w:rsidR="00B359DA" w:rsidRDefault="00B359DA">
      <w:pPr>
        <w:spacing w:after="0"/>
      </w:pPr>
    </w:p>
  </w:footnote>
  <w:footnote w:id="2">
    <w:p w14:paraId="13D8CBEC" w14:textId="1CDBF715" w:rsidR="008F705F" w:rsidRPr="008F705F" w:rsidRDefault="008F705F" w:rsidP="008F705F">
      <w:pPr>
        <w:pStyle w:val="FootnoteText"/>
        <w:spacing w:before="0" w:after="0"/>
        <w:rPr>
          <w:szCs w:val="18"/>
          <w:lang w:val="en-GB"/>
        </w:rPr>
      </w:pPr>
      <w:r w:rsidRPr="008F705F">
        <w:rPr>
          <w:rStyle w:val="FootnoteReference"/>
          <w:szCs w:val="18"/>
        </w:rPr>
        <w:footnoteRef/>
      </w:r>
      <w:r w:rsidRPr="008F705F">
        <w:rPr>
          <w:szCs w:val="18"/>
        </w:rPr>
        <w:t xml:space="preserve"> </w:t>
      </w:r>
      <w:bookmarkStart w:id="87" w:name="_Hlk183152252"/>
      <w:r w:rsidRPr="008F705F">
        <w:rPr>
          <w:rFonts w:cstheme="minorHAnsi"/>
          <w:szCs w:val="18"/>
        </w:rPr>
        <w:t xml:space="preserve">The 2023 HDS collected gender, rather than sex, in alignment with the </w:t>
      </w:r>
      <w:hyperlink r:id="rId1" w:history="1">
        <w:r w:rsidRPr="008F705F">
          <w:rPr>
            <w:rStyle w:val="Hyperlink"/>
            <w:rFonts w:cstheme="minorHAnsi"/>
            <w:sz w:val="18"/>
            <w:szCs w:val="18"/>
          </w:rPr>
          <w:t>data standard for gender, sex, and variations of sex characteristics</w:t>
        </w:r>
      </w:hyperlink>
      <w:r w:rsidRPr="008F705F">
        <w:rPr>
          <w:rFonts w:cstheme="minorHAnsi"/>
          <w:szCs w:val="18"/>
        </w:rPr>
        <w:t>. Survey respondents could report a gender other than male or female. Estimates for people who reported another gender have not been published due to very small sample sizes.</w:t>
      </w:r>
      <w:bookmarkEnd w:id="87"/>
    </w:p>
  </w:footnote>
  <w:footnote w:id="3">
    <w:p w14:paraId="2ADE1A0D" w14:textId="3449A082" w:rsidR="00591477" w:rsidRPr="00591477" w:rsidRDefault="00591477" w:rsidP="0099489B">
      <w:pPr>
        <w:pStyle w:val="FootnoteText"/>
        <w:spacing w:before="0" w:after="0"/>
        <w:rPr>
          <w:lang w:val="en-GB"/>
        </w:rPr>
      </w:pPr>
      <w:r>
        <w:rPr>
          <w:rStyle w:val="FootnoteReference"/>
        </w:rPr>
        <w:footnoteRef/>
      </w:r>
      <w:r>
        <w:t xml:space="preserve"> </w:t>
      </w:r>
      <w:r w:rsidRPr="00A37310">
        <w:rPr>
          <w:szCs w:val="18"/>
        </w:rPr>
        <w:t xml:space="preserve">For a detailed definition of how the </w:t>
      </w:r>
      <w:r w:rsidRPr="005710A8">
        <w:rPr>
          <w:szCs w:val="18"/>
        </w:rPr>
        <w:t>LGBTIQ</w:t>
      </w:r>
      <w:r w:rsidRPr="00A37310">
        <w:rPr>
          <w:szCs w:val="18"/>
        </w:rPr>
        <w:t xml:space="preserve">+ population is defined </w:t>
      </w:r>
      <w:r>
        <w:rPr>
          <w:szCs w:val="18"/>
        </w:rPr>
        <w:t xml:space="preserve">in the HDS </w:t>
      </w:r>
      <w:r w:rsidRPr="00A37310">
        <w:rPr>
          <w:szCs w:val="18"/>
        </w:rPr>
        <w:t>see</w:t>
      </w:r>
      <w:r w:rsidR="009E5FEC">
        <w:rPr>
          <w:szCs w:val="18"/>
        </w:rPr>
        <w:t xml:space="preserve"> </w:t>
      </w:r>
      <w:hyperlink w:anchor="_6.2_Definitions_of" w:history="1">
        <w:r w:rsidR="009E5FEC" w:rsidRPr="00D14529">
          <w:rPr>
            <w:rStyle w:val="Hyperlink"/>
            <w:rFonts w:ascii="Calibri" w:hAnsi="Calibri"/>
            <w:sz w:val="18"/>
            <w:szCs w:val="18"/>
          </w:rPr>
          <w:t>6.2 Definitions</w:t>
        </w:r>
        <w:r w:rsidR="00D14529" w:rsidRPr="00D14529">
          <w:rPr>
            <w:rStyle w:val="Hyperlink"/>
            <w:rFonts w:ascii="Calibri" w:hAnsi="Calibri"/>
            <w:sz w:val="18"/>
            <w:szCs w:val="18"/>
          </w:rPr>
          <w:t xml:space="preserve"> of terms</w:t>
        </w:r>
      </w:hyperlink>
      <w:r>
        <w:rPr>
          <w:szCs w:val="18"/>
        </w:rPr>
        <w:t>.</w:t>
      </w:r>
    </w:p>
  </w:footnote>
  <w:footnote w:id="4">
    <w:p w14:paraId="7D0E8ADA" w14:textId="5370A344" w:rsidR="000845F8" w:rsidRPr="000845F8" w:rsidRDefault="000845F8" w:rsidP="000C571D">
      <w:pPr>
        <w:pStyle w:val="FootnoteText"/>
        <w:spacing w:before="0" w:after="0"/>
        <w:rPr>
          <w:lang w:val="en-GB"/>
        </w:rPr>
      </w:pPr>
      <w:r>
        <w:rPr>
          <w:rStyle w:val="FootnoteReference"/>
        </w:rPr>
        <w:footnoteRef/>
      </w:r>
      <w:r>
        <w:t xml:space="preserve"> </w:t>
      </w:r>
      <w:hyperlink r:id="rId2" w:history="1">
        <w:r w:rsidR="00BD7DB5">
          <w:rPr>
            <w:rStyle w:val="Hyperlink"/>
            <w:rFonts w:ascii="Calibri" w:hAnsi="Calibri"/>
            <w:sz w:val="18"/>
          </w:rPr>
          <w:t>Convention on the Rights of Persons with Disabilities and Optional Protocol</w:t>
        </w:r>
      </w:hyperlink>
      <w:r w:rsidR="00877C50">
        <w:t>.</w:t>
      </w:r>
      <w:r>
        <w:t xml:space="preserve"> </w:t>
      </w:r>
    </w:p>
  </w:footnote>
  <w:footnote w:id="5">
    <w:p w14:paraId="581E22EF" w14:textId="4A6C17F0" w:rsidR="00B766F1" w:rsidRPr="00B766F1" w:rsidRDefault="00B766F1" w:rsidP="000C571D">
      <w:pPr>
        <w:pStyle w:val="FootnoteText"/>
        <w:spacing w:before="0" w:after="0"/>
        <w:rPr>
          <w:lang w:val="en-GB"/>
        </w:rPr>
      </w:pPr>
      <w:r>
        <w:rPr>
          <w:rStyle w:val="FootnoteReference"/>
        </w:rPr>
        <w:footnoteRef/>
      </w:r>
      <w:r>
        <w:t xml:space="preserve"> </w:t>
      </w:r>
      <w:hyperlink r:id="rId3" w:history="1">
        <w:r w:rsidR="002F7B66">
          <w:rPr>
            <w:rStyle w:val="Hyperlink"/>
            <w:rFonts w:ascii="Calibri" w:hAnsi="Calibri"/>
            <w:sz w:val="18"/>
          </w:rPr>
          <w:t>The ICF: an overview (CDC)</w:t>
        </w:r>
      </w:hyperlink>
      <w:r w:rsidR="00853DB9">
        <w:t>.</w:t>
      </w:r>
    </w:p>
  </w:footnote>
  <w:footnote w:id="6">
    <w:p w14:paraId="7B23FDDA" w14:textId="77777777" w:rsidR="00C1570F" w:rsidRPr="00F608E8" w:rsidRDefault="00C1570F" w:rsidP="00C1570F">
      <w:pPr>
        <w:pStyle w:val="FootnoteText"/>
        <w:spacing w:before="0" w:after="0"/>
        <w:rPr>
          <w:lang w:val="en-GB"/>
        </w:rPr>
      </w:pPr>
      <w:r>
        <w:rPr>
          <w:rStyle w:val="FootnoteReference"/>
        </w:rPr>
        <w:footnoteRef/>
      </w:r>
      <w:r>
        <w:t xml:space="preserve"> </w:t>
      </w:r>
      <w:hyperlink r:id="rId4" w:history="1">
        <w:r>
          <w:rPr>
            <w:rStyle w:val="Hyperlink"/>
            <w:rFonts w:ascii="Calibri" w:hAnsi="Calibri"/>
            <w:sz w:val="18"/>
          </w:rPr>
          <w:t>Towards a common language for functioning, disability and health (WHO)</w:t>
        </w:r>
      </w:hyperlink>
      <w:r>
        <w:t>.</w:t>
      </w:r>
    </w:p>
  </w:footnote>
  <w:footnote w:id="7">
    <w:p w14:paraId="08D0D1C7" w14:textId="1744D477" w:rsidR="00CD7405" w:rsidRPr="00CD7405" w:rsidRDefault="00CD7405" w:rsidP="001315A8">
      <w:pPr>
        <w:pStyle w:val="FootnoteText"/>
        <w:spacing w:before="0" w:after="0"/>
        <w:rPr>
          <w:lang w:val="en-GB"/>
        </w:rPr>
      </w:pPr>
      <w:r>
        <w:rPr>
          <w:rStyle w:val="FootnoteReference"/>
        </w:rPr>
        <w:footnoteRef/>
      </w:r>
      <w:r>
        <w:t xml:space="preserve"> </w:t>
      </w:r>
      <w:r>
        <w:rPr>
          <w:lang w:val="en-GB"/>
        </w:rPr>
        <w:t>Self-</w:t>
      </w:r>
      <w:r w:rsidR="001315A8">
        <w:rPr>
          <w:lang w:val="en-GB"/>
        </w:rPr>
        <w:t>described</w:t>
      </w:r>
      <w:r>
        <w:rPr>
          <w:lang w:val="en-GB"/>
        </w:rPr>
        <w:t xml:space="preserve"> as strong </w:t>
      </w:r>
      <w:r w:rsidR="00F13D8A">
        <w:rPr>
          <w:lang w:val="en-GB"/>
        </w:rPr>
        <w:t>for</w:t>
      </w:r>
      <w:r>
        <w:rPr>
          <w:lang w:val="en-GB"/>
        </w:rPr>
        <w:t xml:space="preserve"> </w:t>
      </w:r>
      <w:r w:rsidR="00F13D8A">
        <w:rPr>
          <w:lang w:val="en-GB"/>
        </w:rPr>
        <w:t>the most recent occurrence</w:t>
      </w:r>
      <w:r w:rsidR="008064DF">
        <w:rPr>
          <w:lang w:val="en-GB"/>
        </w:rPr>
        <w:t>.</w:t>
      </w:r>
    </w:p>
  </w:footnote>
  <w:footnote w:id="8">
    <w:p w14:paraId="0E2EDB61" w14:textId="188DB610" w:rsidR="00BE467D" w:rsidRPr="00BE467D" w:rsidRDefault="00BE467D">
      <w:pPr>
        <w:pStyle w:val="FootnoteText"/>
        <w:rPr>
          <w:lang w:val="en-GB"/>
        </w:rPr>
      </w:pPr>
      <w:r>
        <w:rPr>
          <w:rStyle w:val="FootnoteReference"/>
        </w:rPr>
        <w:footnoteRef/>
      </w:r>
      <w:r>
        <w:t xml:space="preserve"> </w:t>
      </w:r>
      <w:r w:rsidR="006260E2">
        <w:t xml:space="preserve">The </w:t>
      </w:r>
      <w:r w:rsidR="006260E2">
        <w:rPr>
          <w:lang w:val="en-GB"/>
        </w:rPr>
        <w:t>highest age strata for Māori was 45+ years and for non-Māori it was 65+ year</w:t>
      </w:r>
      <w:r w:rsidR="00246C64">
        <w:rPr>
          <w:lang w:val="en-GB"/>
        </w:rPr>
        <w:t>s</w:t>
      </w:r>
      <w:r w:rsidR="006260E2">
        <w:rPr>
          <w:lang w:val="en-GB"/>
        </w:rPr>
        <w:t xml:space="preserve">. This is reflective of Māori having a younger age profile and a proportionately low number of adults in older age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508A" w14:textId="77777777" w:rsidR="00DF3B7F" w:rsidRDefault="00DF3B7F" w:rsidP="00207E37">
    <w:pPr>
      <w:pStyle w:val="Headertitle"/>
      <w:ind w:left="-567"/>
      <w:jc w:val="left"/>
      <w:rPr>
        <w:rFonts w:ascii="Regular Semibold" w:hAnsi="Regular Semibold"/>
      </w:rPr>
    </w:pPr>
  </w:p>
  <w:p w14:paraId="03A2C622" w14:textId="77777777" w:rsidR="00DF3B7F" w:rsidRPr="008D5770" w:rsidRDefault="3524BD2A" w:rsidP="3524BD2A">
    <w:pPr>
      <w:pStyle w:val="Headertitle"/>
      <w:tabs>
        <w:tab w:val="clear" w:pos="4513"/>
        <w:tab w:val="right" w:pos="8222"/>
      </w:tabs>
      <w:ind w:left="-567"/>
      <w:jc w:val="left"/>
      <w:rPr>
        <w:rFonts w:ascii="Regular Medium" w:hAnsi="Regular Medium"/>
      </w:rPr>
    </w:pPr>
    <w:r w:rsidRPr="3524BD2A">
      <w:rPr>
        <w:rFonts w:ascii="Regular Semibold" w:hAnsi="Regular Semibold"/>
      </w:rPr>
      <w:t>Stats NZ</w:t>
    </w:r>
    <w:r w:rsidR="02221873">
      <w:tab/>
    </w:r>
    <w:r w:rsidRPr="3524BD2A">
      <w:rPr>
        <w:rFonts w:ascii="Regular Medium" w:hAnsi="Regular Medium"/>
      </w:rPr>
      <w:t>Title of report</w:t>
    </w:r>
  </w:p>
  <w:p w14:paraId="1697AD8B" w14:textId="77777777" w:rsidR="00DF3B7F" w:rsidRDefault="00DF3B7F" w:rsidP="00207E37">
    <w:pPr>
      <w:pStyle w:val="Headertitle"/>
      <w:ind w:left="-567"/>
      <w:jc w:val="left"/>
      <w:rPr>
        <w:rFonts w:ascii="Regular Semibold" w:hAnsi="Regular Semibol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2242" w14:textId="77777777" w:rsidR="00DF3B7F" w:rsidRDefault="00DF3B7F">
    <w:pPr>
      <w:pStyle w:val="Header"/>
    </w:pPr>
    <w:r>
      <w:rPr>
        <w:noProof/>
        <w:lang w:eastAsia="en-NZ"/>
      </w:rPr>
      <w:drawing>
        <wp:anchor distT="0" distB="0" distL="114300" distR="114300" simplePos="0" relativeHeight="251658241" behindDoc="1" locked="0" layoutInCell="1" allowOverlap="1" wp14:anchorId="0E53CF3E" wp14:editId="404248E7">
          <wp:simplePos x="0" y="0"/>
          <wp:positionH relativeFrom="column">
            <wp:posOffset>-1495425</wp:posOffset>
          </wp:positionH>
          <wp:positionV relativeFrom="paragraph">
            <wp:posOffset>4487100</wp:posOffset>
          </wp:positionV>
          <wp:extent cx="5160264" cy="5498592"/>
          <wp:effectExtent l="0" t="0" r="2540" b="6985"/>
          <wp:wrapNone/>
          <wp:docPr id="321142114" name="Picture 32114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HU-1strand-7%grey-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0264" cy="54985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Ind w:w="-856" w:type="dxa"/>
      <w:tblLook w:val="04A0" w:firstRow="1" w:lastRow="0" w:firstColumn="1" w:lastColumn="0" w:noHBand="0" w:noVBand="1"/>
    </w:tblPr>
    <w:tblGrid>
      <w:gridCol w:w="993"/>
      <w:gridCol w:w="8505"/>
    </w:tblGrid>
    <w:tr w:rsidR="00DF3B7F" w14:paraId="40ADEA54" w14:textId="77777777" w:rsidTr="3524BD2A">
      <w:trPr>
        <w:trHeight w:val="410"/>
      </w:trPr>
      <w:tc>
        <w:tcPr>
          <w:tcW w:w="993" w:type="dxa"/>
          <w:tcBorders>
            <w:top w:val="nil"/>
            <w:left w:val="nil"/>
            <w:bottom w:val="nil"/>
            <w:right w:val="nil"/>
          </w:tcBorders>
        </w:tcPr>
        <w:p w14:paraId="511D5D1D" w14:textId="77777777" w:rsidR="00DF3B7F" w:rsidRDefault="00DF3B7F" w:rsidP="003477A8">
          <w:pPr>
            <w:pStyle w:val="HeaderStatsNZ"/>
          </w:pPr>
          <w:r>
            <w:t>Stats NZ</w:t>
          </w:r>
        </w:p>
      </w:tc>
      <w:tc>
        <w:tcPr>
          <w:tcW w:w="8505" w:type="dxa"/>
          <w:tcBorders>
            <w:top w:val="nil"/>
            <w:left w:val="nil"/>
            <w:bottom w:val="nil"/>
            <w:right w:val="nil"/>
          </w:tcBorders>
        </w:tcPr>
        <w:p w14:paraId="6E8A09FC" w14:textId="77777777" w:rsidR="00DF3B7F" w:rsidRDefault="3524BD2A" w:rsidP="003477A8">
          <w:pPr>
            <w:pStyle w:val="Headertitle"/>
          </w:pPr>
          <w:r w:rsidRPr="3E487EA5">
            <w:rPr>
              <w:lang w:val="en-GB"/>
            </w:rPr>
            <w:t xml:space="preserve">[Title of report style is Header title] </w:t>
          </w:r>
          <w:hyperlink r:id="rId1">
            <w:r w:rsidRPr="3E487EA5">
              <w:rPr>
                <w:lang w:val="en-GB"/>
              </w:rPr>
              <w:t>Subnational population estimates for other local government areas:</w:t>
            </w:r>
            <w:r w:rsidR="02221873">
              <w:br/>
            </w:r>
          </w:hyperlink>
          <w:r w:rsidRPr="3E487EA5">
            <w:rPr>
              <w:lang w:val="en-GB"/>
            </w:rPr>
            <w:t>At 30 June 2016 [If title is very long do shift enter to move subtitle to next line]</w:t>
          </w:r>
        </w:p>
      </w:tc>
    </w:tr>
  </w:tbl>
  <w:p w14:paraId="6B037400" w14:textId="77777777" w:rsidR="00DF3B7F" w:rsidRDefault="00DF3B7F" w:rsidP="003477A8">
    <w:pPr>
      <w:pStyle w:val="Headertitle"/>
      <w:tabs>
        <w:tab w:val="clear" w:pos="4513"/>
        <w:tab w:val="right" w:pos="8222"/>
      </w:tabs>
      <w:jc w:val="left"/>
      <w:rPr>
        <w:rFonts w:ascii="Regular Medium" w:hAnsi="Regular Medium"/>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9EEA" w14:textId="77777777" w:rsidR="00DF3B7F" w:rsidRDefault="00DF3B7F">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AA0D" w14:textId="77777777" w:rsidR="00DF3B7F" w:rsidRPr="003477A8" w:rsidRDefault="00DF3B7F" w:rsidP="003477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4091" w14:textId="5C035F1A" w:rsidR="00DF3B7F" w:rsidRPr="001959C3" w:rsidRDefault="000137F3" w:rsidP="001959C3">
    <w:pPr>
      <w:pStyle w:val="Headertitle"/>
    </w:pPr>
    <w:r>
      <w:t>Household Disability Survey</w:t>
    </w:r>
    <w:r w:rsidR="00D13EDC">
      <w:t xml:space="preserve"> 2023</w:t>
    </w:r>
    <w:r>
      <w:t xml:space="preserve"> – findings, definitions</w:t>
    </w:r>
    <w:r w:rsidR="00FB343C">
      <w:t>,</w:t>
    </w:r>
    <w:r w:rsidR="00FB343C">
      <w:tab/>
    </w:r>
    <w:r>
      <w:t xml:space="preserve"> and design 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10D9" w14:textId="77777777" w:rsidR="00DF3B7F" w:rsidRDefault="00DF3B7F" w:rsidP="4A07F070">
    <w:pPr>
      <w:pStyle w:val="Headertitle"/>
      <w:rPr>
        <w:rFonts w:ascii="Regular Medium" w:hAnsi="Regular Medium"/>
      </w:rPr>
    </w:pPr>
    <w:r>
      <w:rPr>
        <w:noProof/>
        <w:lang w:eastAsia="en-NZ"/>
      </w:rPr>
      <mc:AlternateContent>
        <mc:Choice Requires="wps">
          <w:drawing>
            <wp:anchor distT="0" distB="0" distL="114300" distR="114300" simplePos="0" relativeHeight="251658240" behindDoc="0" locked="0" layoutInCell="1" allowOverlap="1" wp14:anchorId="7C0CB128" wp14:editId="0DF54285">
              <wp:simplePos x="0" y="0"/>
              <wp:positionH relativeFrom="margin">
                <wp:posOffset>-949325</wp:posOffset>
              </wp:positionH>
              <wp:positionV relativeFrom="topMargin">
                <wp:posOffset>219075</wp:posOffset>
              </wp:positionV>
              <wp:extent cx="723900" cy="295275"/>
              <wp:effectExtent l="0" t="0" r="0"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E28E" w14:textId="77777777" w:rsidR="00DF3B7F" w:rsidRPr="001959C3" w:rsidRDefault="00DF3B7F" w:rsidP="001959C3">
                          <w:pPr>
                            <w:pStyle w:val="HeaderStatsNZ"/>
                          </w:pPr>
                          <w:r w:rsidRPr="001959C3">
                            <w:t>Stats 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58F42A3">
            <v:shapetype id="_x0000_t202" coordsize="21600,21600" o:spt="202" path="m,l,21600r21600,l21600,xe" w14:anchorId="7C0CB128">
              <v:stroke joinstyle="miter"/>
              <v:path gradientshapeok="t" o:connecttype="rect"/>
            </v:shapetype>
            <v:shape id="Text Box 4" style="position:absolute;left:0;text-align:left;margin-left:-74.75pt;margin-top:17.25pt;width:57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">
              <v:textbox>
                <w:txbxContent>
                  <w:p w:rsidRPr="001959C3" w:rsidR="00DF3B7F" w:rsidP="001959C3" w:rsidRDefault="00DF3B7F" w14:paraId="5C9540C8" w14:textId="77777777">
                    <w:pPr>
                      <w:pStyle w:val="HeaderStatsNZ"/>
                    </w:pPr>
                    <w:r w:rsidRPr="001959C3">
                      <w:t>Stats NZ</w:t>
                    </w:r>
                  </w:p>
                </w:txbxContent>
              </v:textbox>
              <w10:wrap anchorx="margin" anchory="margin"/>
            </v:shape>
          </w:pict>
        </mc:Fallback>
      </mc:AlternateContent>
    </w:r>
    <w:r>
      <w:t xml:space="preserve">[Title of report style is Header title] </w:t>
    </w:r>
    <w:hyperlink r:id="rId1" w:history="1">
      <w:r w:rsidRPr="00F707AE">
        <w:t>Subnational population estimates for other local government areas:</w:t>
      </w:r>
    </w:hyperlink>
    <w:r>
      <w:br/>
      <w:t>At 30 June 2016 [If title is very long do shift enter to move subtitle to next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0238"/>
    <w:multiLevelType w:val="hybridMultilevel"/>
    <w:tmpl w:val="E8F6E780"/>
    <w:lvl w:ilvl="0" w:tplc="B50E63DE">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18537D"/>
    <w:multiLevelType w:val="hybridMultilevel"/>
    <w:tmpl w:val="52B09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26987"/>
    <w:multiLevelType w:val="hybridMultilevel"/>
    <w:tmpl w:val="76120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E0315D"/>
    <w:multiLevelType w:val="hybridMultilevel"/>
    <w:tmpl w:val="07F82D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C1B2BCC"/>
    <w:multiLevelType w:val="hybridMultilevel"/>
    <w:tmpl w:val="B4B64F6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CAD0915"/>
    <w:multiLevelType w:val="hybridMultilevel"/>
    <w:tmpl w:val="2F9E5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42E6B"/>
    <w:multiLevelType w:val="multilevel"/>
    <w:tmpl w:val="15CA28C0"/>
    <w:lvl w:ilvl="0">
      <w:start w:val="1"/>
      <w:numFmt w:val="decimal"/>
      <w:pStyle w:val="Heading1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C21A4D"/>
    <w:multiLevelType w:val="hybridMultilevel"/>
    <w:tmpl w:val="83FE3E14"/>
    <w:lvl w:ilvl="0" w:tplc="CF8A5D5A">
      <w:start w:val="1"/>
      <w:numFmt w:val="decimal"/>
      <w:lvlText w:val="%1."/>
      <w:lvlJc w:val="left"/>
      <w:pPr>
        <w:ind w:left="1020" w:hanging="360"/>
      </w:pPr>
    </w:lvl>
    <w:lvl w:ilvl="1" w:tplc="B686D104">
      <w:start w:val="1"/>
      <w:numFmt w:val="decimal"/>
      <w:lvlText w:val="%2."/>
      <w:lvlJc w:val="left"/>
      <w:pPr>
        <w:ind w:left="1020" w:hanging="360"/>
      </w:pPr>
    </w:lvl>
    <w:lvl w:ilvl="2" w:tplc="064CE284">
      <w:start w:val="1"/>
      <w:numFmt w:val="decimal"/>
      <w:lvlText w:val="%3."/>
      <w:lvlJc w:val="left"/>
      <w:pPr>
        <w:ind w:left="1020" w:hanging="360"/>
      </w:pPr>
    </w:lvl>
    <w:lvl w:ilvl="3" w:tplc="6BAC38F0">
      <w:start w:val="1"/>
      <w:numFmt w:val="decimal"/>
      <w:lvlText w:val="%4."/>
      <w:lvlJc w:val="left"/>
      <w:pPr>
        <w:ind w:left="1020" w:hanging="360"/>
      </w:pPr>
    </w:lvl>
    <w:lvl w:ilvl="4" w:tplc="C0BA2AA6">
      <w:start w:val="1"/>
      <w:numFmt w:val="decimal"/>
      <w:lvlText w:val="%5."/>
      <w:lvlJc w:val="left"/>
      <w:pPr>
        <w:ind w:left="1020" w:hanging="360"/>
      </w:pPr>
    </w:lvl>
    <w:lvl w:ilvl="5" w:tplc="8E6674D4">
      <w:start w:val="1"/>
      <w:numFmt w:val="decimal"/>
      <w:lvlText w:val="%6."/>
      <w:lvlJc w:val="left"/>
      <w:pPr>
        <w:ind w:left="1020" w:hanging="360"/>
      </w:pPr>
    </w:lvl>
    <w:lvl w:ilvl="6" w:tplc="7DA0F524">
      <w:start w:val="1"/>
      <w:numFmt w:val="decimal"/>
      <w:lvlText w:val="%7."/>
      <w:lvlJc w:val="left"/>
      <w:pPr>
        <w:ind w:left="1020" w:hanging="360"/>
      </w:pPr>
    </w:lvl>
    <w:lvl w:ilvl="7" w:tplc="ED1857A6">
      <w:start w:val="1"/>
      <w:numFmt w:val="decimal"/>
      <w:lvlText w:val="%8."/>
      <w:lvlJc w:val="left"/>
      <w:pPr>
        <w:ind w:left="1020" w:hanging="360"/>
      </w:pPr>
    </w:lvl>
    <w:lvl w:ilvl="8" w:tplc="DE9C98C6">
      <w:start w:val="1"/>
      <w:numFmt w:val="decimal"/>
      <w:lvlText w:val="%9."/>
      <w:lvlJc w:val="left"/>
      <w:pPr>
        <w:ind w:left="1020" w:hanging="360"/>
      </w:pPr>
    </w:lvl>
  </w:abstractNum>
  <w:abstractNum w:abstractNumId="8" w15:restartNumberingAfterBreak="0">
    <w:nsid w:val="28270816"/>
    <w:multiLevelType w:val="hybridMultilevel"/>
    <w:tmpl w:val="2618C814"/>
    <w:lvl w:ilvl="0" w:tplc="14090001">
      <w:start w:val="1"/>
      <w:numFmt w:val="bullet"/>
      <w:lvlText w:val=""/>
      <w:lvlJc w:val="left"/>
      <w:pPr>
        <w:ind w:left="408" w:hanging="360"/>
      </w:pPr>
      <w:rPr>
        <w:rFonts w:ascii="Symbol" w:hAnsi="Symbol" w:hint="default"/>
      </w:rPr>
    </w:lvl>
    <w:lvl w:ilvl="1" w:tplc="14090003" w:tentative="1">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9" w15:restartNumberingAfterBreak="0">
    <w:nsid w:val="2C672B2B"/>
    <w:multiLevelType w:val="hybridMultilevel"/>
    <w:tmpl w:val="868C4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8B16B9"/>
    <w:multiLevelType w:val="multilevel"/>
    <w:tmpl w:val="53A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C1AE4"/>
    <w:multiLevelType w:val="hybridMultilevel"/>
    <w:tmpl w:val="93AC96A8"/>
    <w:lvl w:ilvl="0" w:tplc="4E00DF22">
      <w:start w:val="1"/>
      <w:numFmt w:val="bullet"/>
      <w:pStyle w:val="Bullet3"/>
      <w:lvlText w:val="−"/>
      <w:lvlJc w:val="left"/>
      <w:pPr>
        <w:ind w:left="1267" w:hanging="360"/>
      </w:pPr>
      <w:rPr>
        <w:rFonts w:ascii="Arial Mäori" w:hAnsi="Arial Mäori"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2" w15:restartNumberingAfterBreak="0">
    <w:nsid w:val="304510D5"/>
    <w:multiLevelType w:val="hybridMultilevel"/>
    <w:tmpl w:val="DA14DD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5053A95"/>
    <w:multiLevelType w:val="hybridMultilevel"/>
    <w:tmpl w:val="7292CE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C60999"/>
    <w:multiLevelType w:val="hybridMultilevel"/>
    <w:tmpl w:val="D12C3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A9139F"/>
    <w:multiLevelType w:val="hybridMultilevel"/>
    <w:tmpl w:val="025CFC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B1723B6"/>
    <w:multiLevelType w:val="hybridMultilevel"/>
    <w:tmpl w:val="902C66DE"/>
    <w:lvl w:ilvl="0" w:tplc="E246220A">
      <w:start w:val="1"/>
      <w:numFmt w:val="bullet"/>
      <w:pStyle w:val="Boxedtex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180E61"/>
    <w:multiLevelType w:val="hybridMultilevel"/>
    <w:tmpl w:val="6B4E123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8" w15:restartNumberingAfterBreak="0">
    <w:nsid w:val="48C90CE3"/>
    <w:multiLevelType w:val="hybridMultilevel"/>
    <w:tmpl w:val="675EF5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EB2E09"/>
    <w:multiLevelType w:val="hybridMultilevel"/>
    <w:tmpl w:val="A724A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5839C3"/>
    <w:multiLevelType w:val="hybridMultilevel"/>
    <w:tmpl w:val="6A14E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E85069"/>
    <w:multiLevelType w:val="hybridMultilevel"/>
    <w:tmpl w:val="49968364"/>
    <w:lvl w:ilvl="0" w:tplc="FFFFFFFF">
      <w:start w:val="1"/>
      <w:numFmt w:val="decimal"/>
      <w:lvlText w:val="%1."/>
      <w:lvlJc w:val="left"/>
      <w:pPr>
        <w:ind w:left="720" w:hanging="360"/>
      </w:p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27256"/>
    <w:multiLevelType w:val="hybridMultilevel"/>
    <w:tmpl w:val="0E3A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5249BD"/>
    <w:multiLevelType w:val="hybridMultilevel"/>
    <w:tmpl w:val="4FDAE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716FE9"/>
    <w:multiLevelType w:val="hybridMultilevel"/>
    <w:tmpl w:val="F606FD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345383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E42A0"/>
    <w:multiLevelType w:val="hybridMultilevel"/>
    <w:tmpl w:val="575E3E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6123D9E"/>
    <w:multiLevelType w:val="hybridMultilevel"/>
    <w:tmpl w:val="26280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8E1B4E"/>
    <w:multiLevelType w:val="hybridMultilevel"/>
    <w:tmpl w:val="799E2246"/>
    <w:lvl w:ilvl="0" w:tplc="147EAC68">
      <w:start w:val="1"/>
      <w:numFmt w:val="bullet"/>
      <w:pStyle w:val="Hyperlinkedcontents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9D11EA"/>
    <w:multiLevelType w:val="hybridMultilevel"/>
    <w:tmpl w:val="EBF01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B50D62"/>
    <w:multiLevelType w:val="hybridMultilevel"/>
    <w:tmpl w:val="2DE63248"/>
    <w:lvl w:ilvl="0" w:tplc="74405A1A">
      <w:start w:val="1"/>
      <w:numFmt w:val="decimal"/>
      <w:lvlText w:val="%1."/>
      <w:lvlJc w:val="left"/>
      <w:pPr>
        <w:ind w:left="1020" w:hanging="360"/>
      </w:pPr>
    </w:lvl>
    <w:lvl w:ilvl="1" w:tplc="0F207DBC">
      <w:start w:val="1"/>
      <w:numFmt w:val="decimal"/>
      <w:lvlText w:val="%2."/>
      <w:lvlJc w:val="left"/>
      <w:pPr>
        <w:ind w:left="1020" w:hanging="360"/>
      </w:pPr>
    </w:lvl>
    <w:lvl w:ilvl="2" w:tplc="FDAE94D2">
      <w:start w:val="1"/>
      <w:numFmt w:val="decimal"/>
      <w:lvlText w:val="%3."/>
      <w:lvlJc w:val="left"/>
      <w:pPr>
        <w:ind w:left="1020" w:hanging="360"/>
      </w:pPr>
    </w:lvl>
    <w:lvl w:ilvl="3" w:tplc="B6BCFD22">
      <w:start w:val="1"/>
      <w:numFmt w:val="decimal"/>
      <w:lvlText w:val="%4."/>
      <w:lvlJc w:val="left"/>
      <w:pPr>
        <w:ind w:left="1020" w:hanging="360"/>
      </w:pPr>
    </w:lvl>
    <w:lvl w:ilvl="4" w:tplc="9B2A3086">
      <w:start w:val="1"/>
      <w:numFmt w:val="decimal"/>
      <w:lvlText w:val="%5."/>
      <w:lvlJc w:val="left"/>
      <w:pPr>
        <w:ind w:left="1020" w:hanging="360"/>
      </w:pPr>
    </w:lvl>
    <w:lvl w:ilvl="5" w:tplc="F9CE09F4">
      <w:start w:val="1"/>
      <w:numFmt w:val="decimal"/>
      <w:lvlText w:val="%6."/>
      <w:lvlJc w:val="left"/>
      <w:pPr>
        <w:ind w:left="1020" w:hanging="360"/>
      </w:pPr>
    </w:lvl>
    <w:lvl w:ilvl="6" w:tplc="3264AF9E">
      <w:start w:val="1"/>
      <w:numFmt w:val="decimal"/>
      <w:lvlText w:val="%7."/>
      <w:lvlJc w:val="left"/>
      <w:pPr>
        <w:ind w:left="1020" w:hanging="360"/>
      </w:pPr>
    </w:lvl>
    <w:lvl w:ilvl="7" w:tplc="D5D29172">
      <w:start w:val="1"/>
      <w:numFmt w:val="decimal"/>
      <w:lvlText w:val="%8."/>
      <w:lvlJc w:val="left"/>
      <w:pPr>
        <w:ind w:left="1020" w:hanging="360"/>
      </w:pPr>
    </w:lvl>
    <w:lvl w:ilvl="8" w:tplc="70D4DC00">
      <w:start w:val="1"/>
      <w:numFmt w:val="decimal"/>
      <w:lvlText w:val="%9."/>
      <w:lvlJc w:val="left"/>
      <w:pPr>
        <w:ind w:left="1020" w:hanging="360"/>
      </w:pPr>
    </w:lvl>
  </w:abstractNum>
  <w:abstractNum w:abstractNumId="31" w15:restartNumberingAfterBreak="0">
    <w:nsid w:val="5B9418C6"/>
    <w:multiLevelType w:val="hybridMultilevel"/>
    <w:tmpl w:val="4B8EF960"/>
    <w:lvl w:ilvl="0" w:tplc="97122352">
      <w:start w:val="1"/>
      <w:numFmt w:val="decimal"/>
      <w:lvlText w:val="%1."/>
      <w:lvlJc w:val="left"/>
      <w:pPr>
        <w:ind w:left="1020" w:hanging="360"/>
      </w:pPr>
    </w:lvl>
    <w:lvl w:ilvl="1" w:tplc="6296B352">
      <w:start w:val="1"/>
      <w:numFmt w:val="decimal"/>
      <w:lvlText w:val="%2."/>
      <w:lvlJc w:val="left"/>
      <w:pPr>
        <w:ind w:left="1020" w:hanging="360"/>
      </w:pPr>
    </w:lvl>
    <w:lvl w:ilvl="2" w:tplc="F18870F6">
      <w:start w:val="1"/>
      <w:numFmt w:val="decimal"/>
      <w:lvlText w:val="%3."/>
      <w:lvlJc w:val="left"/>
      <w:pPr>
        <w:ind w:left="1020" w:hanging="360"/>
      </w:pPr>
    </w:lvl>
    <w:lvl w:ilvl="3" w:tplc="315050DC">
      <w:start w:val="1"/>
      <w:numFmt w:val="decimal"/>
      <w:lvlText w:val="%4."/>
      <w:lvlJc w:val="left"/>
      <w:pPr>
        <w:ind w:left="1020" w:hanging="360"/>
      </w:pPr>
    </w:lvl>
    <w:lvl w:ilvl="4" w:tplc="A202B794">
      <w:start w:val="1"/>
      <w:numFmt w:val="decimal"/>
      <w:lvlText w:val="%5."/>
      <w:lvlJc w:val="left"/>
      <w:pPr>
        <w:ind w:left="1020" w:hanging="360"/>
      </w:pPr>
    </w:lvl>
    <w:lvl w:ilvl="5" w:tplc="2E22547A">
      <w:start w:val="1"/>
      <w:numFmt w:val="decimal"/>
      <w:lvlText w:val="%6."/>
      <w:lvlJc w:val="left"/>
      <w:pPr>
        <w:ind w:left="1020" w:hanging="360"/>
      </w:pPr>
    </w:lvl>
    <w:lvl w:ilvl="6" w:tplc="1E5C1E3E">
      <w:start w:val="1"/>
      <w:numFmt w:val="decimal"/>
      <w:lvlText w:val="%7."/>
      <w:lvlJc w:val="left"/>
      <w:pPr>
        <w:ind w:left="1020" w:hanging="360"/>
      </w:pPr>
    </w:lvl>
    <w:lvl w:ilvl="7" w:tplc="876E0B9C">
      <w:start w:val="1"/>
      <w:numFmt w:val="decimal"/>
      <w:lvlText w:val="%8."/>
      <w:lvlJc w:val="left"/>
      <w:pPr>
        <w:ind w:left="1020" w:hanging="360"/>
      </w:pPr>
    </w:lvl>
    <w:lvl w:ilvl="8" w:tplc="B3CE87BE">
      <w:start w:val="1"/>
      <w:numFmt w:val="decimal"/>
      <w:lvlText w:val="%9."/>
      <w:lvlJc w:val="left"/>
      <w:pPr>
        <w:ind w:left="1020" w:hanging="360"/>
      </w:pPr>
    </w:lvl>
  </w:abstractNum>
  <w:abstractNum w:abstractNumId="32" w15:restartNumberingAfterBreak="0">
    <w:nsid w:val="5D501E37"/>
    <w:multiLevelType w:val="hybridMultilevel"/>
    <w:tmpl w:val="0082D55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146749E"/>
    <w:multiLevelType w:val="hybridMultilevel"/>
    <w:tmpl w:val="5C2ECAD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9CB519D"/>
    <w:multiLevelType w:val="hybridMultilevel"/>
    <w:tmpl w:val="13F4B8D0"/>
    <w:lvl w:ilvl="0" w:tplc="8F04026A">
      <w:start w:val="1"/>
      <w:numFmt w:val="bullet"/>
      <w:pStyle w:val="Bullet2"/>
      <w:lvlText w:val="o"/>
      <w:lvlJc w:val="left"/>
      <w:pPr>
        <w:ind w:left="1211" w:hanging="360"/>
      </w:pPr>
      <w:rPr>
        <w:rFonts w:ascii="Courier New" w:hAnsi="Courier New" w:cs="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5" w15:restartNumberingAfterBreak="0">
    <w:nsid w:val="6A5E6324"/>
    <w:multiLevelType w:val="hybridMultilevel"/>
    <w:tmpl w:val="4D3C79F2"/>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0292AD1"/>
    <w:multiLevelType w:val="hybridMultilevel"/>
    <w:tmpl w:val="B04CC2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3BD6616"/>
    <w:multiLevelType w:val="hybridMultilevel"/>
    <w:tmpl w:val="4DCCEA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4AD5E88"/>
    <w:multiLevelType w:val="hybridMultilevel"/>
    <w:tmpl w:val="820EE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091AAA"/>
    <w:multiLevelType w:val="hybridMultilevel"/>
    <w:tmpl w:val="361081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2A0ADA"/>
    <w:multiLevelType w:val="hybridMultilevel"/>
    <w:tmpl w:val="04744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7833F9A"/>
    <w:multiLevelType w:val="hybridMultilevel"/>
    <w:tmpl w:val="4BBCF29C"/>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7A4B5860"/>
    <w:multiLevelType w:val="hybridMultilevel"/>
    <w:tmpl w:val="8F204F14"/>
    <w:lvl w:ilvl="0" w:tplc="FC54E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FA4A66"/>
    <w:multiLevelType w:val="hybridMultilevel"/>
    <w:tmpl w:val="CE228726"/>
    <w:lvl w:ilvl="0" w:tplc="6240BC72">
      <w:start w:val="1"/>
      <w:numFmt w:val="decimal"/>
      <w:pStyle w:val="Numbered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F8B5097"/>
    <w:multiLevelType w:val="hybridMultilevel"/>
    <w:tmpl w:val="C896C48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43962192">
    <w:abstractNumId w:val="0"/>
  </w:num>
  <w:num w:numId="2" w16cid:durableId="1748502943">
    <w:abstractNumId w:val="6"/>
  </w:num>
  <w:num w:numId="3" w16cid:durableId="642153489">
    <w:abstractNumId w:val="34"/>
  </w:num>
  <w:num w:numId="4" w16cid:durableId="835074369">
    <w:abstractNumId w:val="16"/>
  </w:num>
  <w:num w:numId="5" w16cid:durableId="536084672">
    <w:abstractNumId w:val="11"/>
  </w:num>
  <w:num w:numId="6" w16cid:durableId="717095235">
    <w:abstractNumId w:val="43"/>
  </w:num>
  <w:num w:numId="7" w16cid:durableId="298194528">
    <w:abstractNumId w:val="18"/>
  </w:num>
  <w:num w:numId="8" w16cid:durableId="226842768">
    <w:abstractNumId w:val="42"/>
  </w:num>
  <w:num w:numId="9" w16cid:durableId="1324900">
    <w:abstractNumId w:val="25"/>
  </w:num>
  <w:num w:numId="10" w16cid:durableId="511142517">
    <w:abstractNumId w:val="19"/>
  </w:num>
  <w:num w:numId="11" w16cid:durableId="1814712800">
    <w:abstractNumId w:val="28"/>
  </w:num>
  <w:num w:numId="12" w16cid:durableId="1950699571">
    <w:abstractNumId w:val="2"/>
  </w:num>
  <w:num w:numId="13" w16cid:durableId="1262026807">
    <w:abstractNumId w:val="8"/>
  </w:num>
  <w:num w:numId="14" w16cid:durableId="566648077">
    <w:abstractNumId w:val="33"/>
  </w:num>
  <w:num w:numId="15" w16cid:durableId="2047682710">
    <w:abstractNumId w:val="12"/>
  </w:num>
  <w:num w:numId="16" w16cid:durableId="1883394453">
    <w:abstractNumId w:val="44"/>
  </w:num>
  <w:num w:numId="17" w16cid:durableId="87123789">
    <w:abstractNumId w:val="26"/>
  </w:num>
  <w:num w:numId="18" w16cid:durableId="2090618013">
    <w:abstractNumId w:val="41"/>
  </w:num>
  <w:num w:numId="19" w16cid:durableId="1850825698">
    <w:abstractNumId w:val="15"/>
  </w:num>
  <w:num w:numId="20" w16cid:durableId="278611735">
    <w:abstractNumId w:val="4"/>
  </w:num>
  <w:num w:numId="21" w16cid:durableId="809518580">
    <w:abstractNumId w:val="24"/>
  </w:num>
  <w:num w:numId="22" w16cid:durableId="991250182">
    <w:abstractNumId w:val="37"/>
  </w:num>
  <w:num w:numId="23" w16cid:durableId="563763835">
    <w:abstractNumId w:val="36"/>
  </w:num>
  <w:num w:numId="24" w16cid:durableId="2029793311">
    <w:abstractNumId w:val="23"/>
  </w:num>
  <w:num w:numId="25" w16cid:durableId="1401057260">
    <w:abstractNumId w:val="1"/>
  </w:num>
  <w:num w:numId="26" w16cid:durableId="506988296">
    <w:abstractNumId w:val="38"/>
  </w:num>
  <w:num w:numId="27" w16cid:durableId="78211168">
    <w:abstractNumId w:val="40"/>
  </w:num>
  <w:num w:numId="28" w16cid:durableId="1989705274">
    <w:abstractNumId w:val="17"/>
  </w:num>
  <w:num w:numId="29" w16cid:durableId="414598222">
    <w:abstractNumId w:val="14"/>
  </w:num>
  <w:num w:numId="30" w16cid:durableId="1370570580">
    <w:abstractNumId w:val="30"/>
  </w:num>
  <w:num w:numId="31" w16cid:durableId="193620536">
    <w:abstractNumId w:val="31"/>
  </w:num>
  <w:num w:numId="32" w16cid:durableId="819619919">
    <w:abstractNumId w:val="7"/>
  </w:num>
  <w:num w:numId="33" w16cid:durableId="1351377294">
    <w:abstractNumId w:val="29"/>
  </w:num>
  <w:num w:numId="34" w16cid:durableId="1936746349">
    <w:abstractNumId w:val="5"/>
  </w:num>
  <w:num w:numId="35" w16cid:durableId="1801419032">
    <w:abstractNumId w:val="20"/>
  </w:num>
  <w:num w:numId="36" w16cid:durableId="1633097422">
    <w:abstractNumId w:val="32"/>
  </w:num>
  <w:num w:numId="37" w16cid:durableId="1656258236">
    <w:abstractNumId w:val="13"/>
  </w:num>
  <w:num w:numId="38" w16cid:durableId="40904354">
    <w:abstractNumId w:val="27"/>
  </w:num>
  <w:num w:numId="39" w16cid:durableId="625550992">
    <w:abstractNumId w:val="21"/>
  </w:num>
  <w:num w:numId="40" w16cid:durableId="1752001119">
    <w:abstractNumId w:val="3"/>
  </w:num>
  <w:num w:numId="41" w16cid:durableId="1602450846">
    <w:abstractNumId w:val="39"/>
  </w:num>
  <w:num w:numId="42" w16cid:durableId="2125691152">
    <w:abstractNumId w:val="9"/>
  </w:num>
  <w:num w:numId="43" w16cid:durableId="144012968">
    <w:abstractNumId w:val="22"/>
  </w:num>
  <w:num w:numId="44" w16cid:durableId="669214817">
    <w:abstractNumId w:val="35"/>
  </w:num>
  <w:num w:numId="45" w16cid:durableId="1830947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28"/>
    <w:rsid w:val="00000232"/>
    <w:rsid w:val="00000802"/>
    <w:rsid w:val="00000AAF"/>
    <w:rsid w:val="00001326"/>
    <w:rsid w:val="00001EE9"/>
    <w:rsid w:val="00001F3B"/>
    <w:rsid w:val="00001FC7"/>
    <w:rsid w:val="000022F8"/>
    <w:rsid w:val="000024A0"/>
    <w:rsid w:val="0000250B"/>
    <w:rsid w:val="0000373B"/>
    <w:rsid w:val="000039E9"/>
    <w:rsid w:val="00003D6B"/>
    <w:rsid w:val="00003DD4"/>
    <w:rsid w:val="000040D2"/>
    <w:rsid w:val="00004116"/>
    <w:rsid w:val="00004365"/>
    <w:rsid w:val="000046A9"/>
    <w:rsid w:val="00004ED9"/>
    <w:rsid w:val="00004FEB"/>
    <w:rsid w:val="000050EB"/>
    <w:rsid w:val="00005308"/>
    <w:rsid w:val="000055A9"/>
    <w:rsid w:val="00006041"/>
    <w:rsid w:val="00006260"/>
    <w:rsid w:val="00006AEA"/>
    <w:rsid w:val="00006D5E"/>
    <w:rsid w:val="000070B6"/>
    <w:rsid w:val="000074C2"/>
    <w:rsid w:val="00007C74"/>
    <w:rsid w:val="00007D75"/>
    <w:rsid w:val="00007EEC"/>
    <w:rsid w:val="00007FE1"/>
    <w:rsid w:val="00010257"/>
    <w:rsid w:val="00010495"/>
    <w:rsid w:val="000114E4"/>
    <w:rsid w:val="0001162B"/>
    <w:rsid w:val="00011EE7"/>
    <w:rsid w:val="00011EFF"/>
    <w:rsid w:val="000123A2"/>
    <w:rsid w:val="00012E4B"/>
    <w:rsid w:val="00013495"/>
    <w:rsid w:val="000137F3"/>
    <w:rsid w:val="00013CA4"/>
    <w:rsid w:val="00014139"/>
    <w:rsid w:val="00015391"/>
    <w:rsid w:val="0001550D"/>
    <w:rsid w:val="000155F5"/>
    <w:rsid w:val="00015741"/>
    <w:rsid w:val="00015B1E"/>
    <w:rsid w:val="00015F9B"/>
    <w:rsid w:val="000165B6"/>
    <w:rsid w:val="00016A7A"/>
    <w:rsid w:val="00016C84"/>
    <w:rsid w:val="00016EB4"/>
    <w:rsid w:val="00017409"/>
    <w:rsid w:val="00017873"/>
    <w:rsid w:val="00020227"/>
    <w:rsid w:val="000206C4"/>
    <w:rsid w:val="00020B13"/>
    <w:rsid w:val="00021168"/>
    <w:rsid w:val="0002200D"/>
    <w:rsid w:val="00022163"/>
    <w:rsid w:val="000225F8"/>
    <w:rsid w:val="00022E4E"/>
    <w:rsid w:val="00023068"/>
    <w:rsid w:val="0002353F"/>
    <w:rsid w:val="000237A3"/>
    <w:rsid w:val="00023BCB"/>
    <w:rsid w:val="00023D3E"/>
    <w:rsid w:val="00023E4F"/>
    <w:rsid w:val="00024085"/>
    <w:rsid w:val="0002478B"/>
    <w:rsid w:val="0002527A"/>
    <w:rsid w:val="00025538"/>
    <w:rsid w:val="00025665"/>
    <w:rsid w:val="00025762"/>
    <w:rsid w:val="00025A2B"/>
    <w:rsid w:val="00025BA0"/>
    <w:rsid w:val="0002689E"/>
    <w:rsid w:val="00026960"/>
    <w:rsid w:val="00026DF6"/>
    <w:rsid w:val="00026FA5"/>
    <w:rsid w:val="00027147"/>
    <w:rsid w:val="0002735A"/>
    <w:rsid w:val="0002769F"/>
    <w:rsid w:val="00027FEE"/>
    <w:rsid w:val="0003003D"/>
    <w:rsid w:val="00031B8D"/>
    <w:rsid w:val="00031F7A"/>
    <w:rsid w:val="0003234B"/>
    <w:rsid w:val="00032572"/>
    <w:rsid w:val="000326A0"/>
    <w:rsid w:val="00032ACE"/>
    <w:rsid w:val="00032B09"/>
    <w:rsid w:val="00033172"/>
    <w:rsid w:val="000331CE"/>
    <w:rsid w:val="000332FA"/>
    <w:rsid w:val="000337F5"/>
    <w:rsid w:val="000338B7"/>
    <w:rsid w:val="00033FCB"/>
    <w:rsid w:val="00034119"/>
    <w:rsid w:val="000342CD"/>
    <w:rsid w:val="000347D6"/>
    <w:rsid w:val="00034944"/>
    <w:rsid w:val="000349F5"/>
    <w:rsid w:val="00035743"/>
    <w:rsid w:val="0003676A"/>
    <w:rsid w:val="000371A2"/>
    <w:rsid w:val="00037B9D"/>
    <w:rsid w:val="00037EA5"/>
    <w:rsid w:val="00040E69"/>
    <w:rsid w:val="00041119"/>
    <w:rsid w:val="000414C8"/>
    <w:rsid w:val="00041671"/>
    <w:rsid w:val="00041B17"/>
    <w:rsid w:val="000426EF"/>
    <w:rsid w:val="00042EBA"/>
    <w:rsid w:val="00043808"/>
    <w:rsid w:val="00043FFF"/>
    <w:rsid w:val="00044268"/>
    <w:rsid w:val="00044931"/>
    <w:rsid w:val="0004528A"/>
    <w:rsid w:val="00045433"/>
    <w:rsid w:val="00045891"/>
    <w:rsid w:val="000458F2"/>
    <w:rsid w:val="00045C72"/>
    <w:rsid w:val="00045E40"/>
    <w:rsid w:val="00045F76"/>
    <w:rsid w:val="00046068"/>
    <w:rsid w:val="00046995"/>
    <w:rsid w:val="0004699E"/>
    <w:rsid w:val="0004705C"/>
    <w:rsid w:val="00047066"/>
    <w:rsid w:val="00047219"/>
    <w:rsid w:val="00047321"/>
    <w:rsid w:val="000478C6"/>
    <w:rsid w:val="00047D36"/>
    <w:rsid w:val="00047FB3"/>
    <w:rsid w:val="0005009E"/>
    <w:rsid w:val="0005013D"/>
    <w:rsid w:val="000504E6"/>
    <w:rsid w:val="0005052B"/>
    <w:rsid w:val="00050BFA"/>
    <w:rsid w:val="000512A5"/>
    <w:rsid w:val="00051F46"/>
    <w:rsid w:val="000528BA"/>
    <w:rsid w:val="00052930"/>
    <w:rsid w:val="00052D9C"/>
    <w:rsid w:val="00052F84"/>
    <w:rsid w:val="00053139"/>
    <w:rsid w:val="000533A2"/>
    <w:rsid w:val="00053507"/>
    <w:rsid w:val="00054498"/>
    <w:rsid w:val="00054880"/>
    <w:rsid w:val="00054C63"/>
    <w:rsid w:val="00054D01"/>
    <w:rsid w:val="0005543B"/>
    <w:rsid w:val="00055879"/>
    <w:rsid w:val="00055C6F"/>
    <w:rsid w:val="00055F32"/>
    <w:rsid w:val="00056A23"/>
    <w:rsid w:val="00056F4B"/>
    <w:rsid w:val="0005717F"/>
    <w:rsid w:val="00057192"/>
    <w:rsid w:val="0005759D"/>
    <w:rsid w:val="00057671"/>
    <w:rsid w:val="00057A92"/>
    <w:rsid w:val="00057DC4"/>
    <w:rsid w:val="000604BC"/>
    <w:rsid w:val="00060626"/>
    <w:rsid w:val="0006076B"/>
    <w:rsid w:val="00060FC4"/>
    <w:rsid w:val="000612B6"/>
    <w:rsid w:val="000614BD"/>
    <w:rsid w:val="00061C28"/>
    <w:rsid w:val="0006208B"/>
    <w:rsid w:val="00062923"/>
    <w:rsid w:val="00062991"/>
    <w:rsid w:val="00062E95"/>
    <w:rsid w:val="000632DD"/>
    <w:rsid w:val="000639D4"/>
    <w:rsid w:val="00063A5D"/>
    <w:rsid w:val="00063DB1"/>
    <w:rsid w:val="0006485F"/>
    <w:rsid w:val="00064C1B"/>
    <w:rsid w:val="00065038"/>
    <w:rsid w:val="00065108"/>
    <w:rsid w:val="0006539B"/>
    <w:rsid w:val="000659AC"/>
    <w:rsid w:val="00066380"/>
    <w:rsid w:val="00066653"/>
    <w:rsid w:val="0006737C"/>
    <w:rsid w:val="00067427"/>
    <w:rsid w:val="00067579"/>
    <w:rsid w:val="00067597"/>
    <w:rsid w:val="000677D9"/>
    <w:rsid w:val="00067851"/>
    <w:rsid w:val="00067E86"/>
    <w:rsid w:val="0007002E"/>
    <w:rsid w:val="00070055"/>
    <w:rsid w:val="000700A9"/>
    <w:rsid w:val="00070CA2"/>
    <w:rsid w:val="00070F75"/>
    <w:rsid w:val="00072021"/>
    <w:rsid w:val="0007202A"/>
    <w:rsid w:val="00072F8C"/>
    <w:rsid w:val="00072FEB"/>
    <w:rsid w:val="00073594"/>
    <w:rsid w:val="00073835"/>
    <w:rsid w:val="000738A6"/>
    <w:rsid w:val="00074812"/>
    <w:rsid w:val="00074C5D"/>
    <w:rsid w:val="000751DD"/>
    <w:rsid w:val="00075706"/>
    <w:rsid w:val="00075A90"/>
    <w:rsid w:val="00076D1B"/>
    <w:rsid w:val="00077894"/>
    <w:rsid w:val="00077A20"/>
    <w:rsid w:val="00077E7C"/>
    <w:rsid w:val="00077F2F"/>
    <w:rsid w:val="000807CB"/>
    <w:rsid w:val="00080ACC"/>
    <w:rsid w:val="00080DE9"/>
    <w:rsid w:val="0008165A"/>
    <w:rsid w:val="00081737"/>
    <w:rsid w:val="00081B3A"/>
    <w:rsid w:val="000824AB"/>
    <w:rsid w:val="0008257A"/>
    <w:rsid w:val="00082658"/>
    <w:rsid w:val="0008320A"/>
    <w:rsid w:val="000834D5"/>
    <w:rsid w:val="00083628"/>
    <w:rsid w:val="00083FB0"/>
    <w:rsid w:val="000843F4"/>
    <w:rsid w:val="000845F8"/>
    <w:rsid w:val="00084941"/>
    <w:rsid w:val="0008494C"/>
    <w:rsid w:val="0008520F"/>
    <w:rsid w:val="00085389"/>
    <w:rsid w:val="000856CB"/>
    <w:rsid w:val="00085FE1"/>
    <w:rsid w:val="00086DC6"/>
    <w:rsid w:val="000872CB"/>
    <w:rsid w:val="000876A5"/>
    <w:rsid w:val="00087EFD"/>
    <w:rsid w:val="00090ACE"/>
    <w:rsid w:val="00090B13"/>
    <w:rsid w:val="00090D36"/>
    <w:rsid w:val="000911FD"/>
    <w:rsid w:val="00091662"/>
    <w:rsid w:val="0009185F"/>
    <w:rsid w:val="00091FE1"/>
    <w:rsid w:val="00092475"/>
    <w:rsid w:val="00093375"/>
    <w:rsid w:val="00093579"/>
    <w:rsid w:val="00093E9D"/>
    <w:rsid w:val="00094103"/>
    <w:rsid w:val="00094EB7"/>
    <w:rsid w:val="00095035"/>
    <w:rsid w:val="0009530F"/>
    <w:rsid w:val="0009533E"/>
    <w:rsid w:val="000953E9"/>
    <w:rsid w:val="00095506"/>
    <w:rsid w:val="00095578"/>
    <w:rsid w:val="0009584E"/>
    <w:rsid w:val="00095906"/>
    <w:rsid w:val="00095FAE"/>
    <w:rsid w:val="00095FBC"/>
    <w:rsid w:val="00096AC4"/>
    <w:rsid w:val="00096C8D"/>
    <w:rsid w:val="00097322"/>
    <w:rsid w:val="00097711"/>
    <w:rsid w:val="00097A87"/>
    <w:rsid w:val="000A0017"/>
    <w:rsid w:val="000A047C"/>
    <w:rsid w:val="000A092C"/>
    <w:rsid w:val="000A0ECB"/>
    <w:rsid w:val="000A12DD"/>
    <w:rsid w:val="000A14DF"/>
    <w:rsid w:val="000A1670"/>
    <w:rsid w:val="000A1710"/>
    <w:rsid w:val="000A19E0"/>
    <w:rsid w:val="000A1BEC"/>
    <w:rsid w:val="000A1E88"/>
    <w:rsid w:val="000A21B8"/>
    <w:rsid w:val="000A24F7"/>
    <w:rsid w:val="000A265E"/>
    <w:rsid w:val="000A291D"/>
    <w:rsid w:val="000A29E4"/>
    <w:rsid w:val="000A32D9"/>
    <w:rsid w:val="000A3644"/>
    <w:rsid w:val="000A383D"/>
    <w:rsid w:val="000A3845"/>
    <w:rsid w:val="000A3F9F"/>
    <w:rsid w:val="000A445F"/>
    <w:rsid w:val="000A45B4"/>
    <w:rsid w:val="000A5364"/>
    <w:rsid w:val="000A58A5"/>
    <w:rsid w:val="000A63B2"/>
    <w:rsid w:val="000A6761"/>
    <w:rsid w:val="000A7021"/>
    <w:rsid w:val="000A72CC"/>
    <w:rsid w:val="000A7639"/>
    <w:rsid w:val="000A78F2"/>
    <w:rsid w:val="000B0182"/>
    <w:rsid w:val="000B10E5"/>
    <w:rsid w:val="000B1527"/>
    <w:rsid w:val="000B1A7C"/>
    <w:rsid w:val="000B1B61"/>
    <w:rsid w:val="000B1DFC"/>
    <w:rsid w:val="000B1E26"/>
    <w:rsid w:val="000B2312"/>
    <w:rsid w:val="000B289F"/>
    <w:rsid w:val="000B2A83"/>
    <w:rsid w:val="000B2B6B"/>
    <w:rsid w:val="000B30B0"/>
    <w:rsid w:val="000B31D0"/>
    <w:rsid w:val="000B4059"/>
    <w:rsid w:val="000B40BB"/>
    <w:rsid w:val="000B467E"/>
    <w:rsid w:val="000B4A85"/>
    <w:rsid w:val="000B501D"/>
    <w:rsid w:val="000B50CF"/>
    <w:rsid w:val="000B57F6"/>
    <w:rsid w:val="000B61E8"/>
    <w:rsid w:val="000B6751"/>
    <w:rsid w:val="000B70BE"/>
    <w:rsid w:val="000B7102"/>
    <w:rsid w:val="000B7516"/>
    <w:rsid w:val="000B76B3"/>
    <w:rsid w:val="000B778B"/>
    <w:rsid w:val="000B7BAE"/>
    <w:rsid w:val="000B7C59"/>
    <w:rsid w:val="000B7D0B"/>
    <w:rsid w:val="000C0248"/>
    <w:rsid w:val="000C06C9"/>
    <w:rsid w:val="000C0ED8"/>
    <w:rsid w:val="000C137D"/>
    <w:rsid w:val="000C142E"/>
    <w:rsid w:val="000C168F"/>
    <w:rsid w:val="000C1DAB"/>
    <w:rsid w:val="000C23DE"/>
    <w:rsid w:val="000C289A"/>
    <w:rsid w:val="000C29BB"/>
    <w:rsid w:val="000C2C96"/>
    <w:rsid w:val="000C2D63"/>
    <w:rsid w:val="000C30AA"/>
    <w:rsid w:val="000C3447"/>
    <w:rsid w:val="000C3A3F"/>
    <w:rsid w:val="000C3A40"/>
    <w:rsid w:val="000C40F5"/>
    <w:rsid w:val="000C4531"/>
    <w:rsid w:val="000C50A1"/>
    <w:rsid w:val="000C51E5"/>
    <w:rsid w:val="000C54A5"/>
    <w:rsid w:val="000C571D"/>
    <w:rsid w:val="000C5958"/>
    <w:rsid w:val="000C5A1E"/>
    <w:rsid w:val="000C5A25"/>
    <w:rsid w:val="000C5AE9"/>
    <w:rsid w:val="000C5BDA"/>
    <w:rsid w:val="000C66C1"/>
    <w:rsid w:val="000C6B6C"/>
    <w:rsid w:val="000C6E33"/>
    <w:rsid w:val="000C6F5D"/>
    <w:rsid w:val="000C7185"/>
    <w:rsid w:val="000C71D6"/>
    <w:rsid w:val="000C762C"/>
    <w:rsid w:val="000C7A8B"/>
    <w:rsid w:val="000C7B58"/>
    <w:rsid w:val="000C7E1A"/>
    <w:rsid w:val="000D024D"/>
    <w:rsid w:val="000D0F17"/>
    <w:rsid w:val="000D11C9"/>
    <w:rsid w:val="000D13F3"/>
    <w:rsid w:val="000D19F4"/>
    <w:rsid w:val="000D1BBD"/>
    <w:rsid w:val="000D2C0B"/>
    <w:rsid w:val="000D2D3A"/>
    <w:rsid w:val="000D3032"/>
    <w:rsid w:val="000D370E"/>
    <w:rsid w:val="000D418F"/>
    <w:rsid w:val="000D42D2"/>
    <w:rsid w:val="000D4A3F"/>
    <w:rsid w:val="000D4C3E"/>
    <w:rsid w:val="000D4E3D"/>
    <w:rsid w:val="000D4FAF"/>
    <w:rsid w:val="000D5445"/>
    <w:rsid w:val="000D5821"/>
    <w:rsid w:val="000D5D92"/>
    <w:rsid w:val="000D5E20"/>
    <w:rsid w:val="000D5F25"/>
    <w:rsid w:val="000D6CC1"/>
    <w:rsid w:val="000D6FC9"/>
    <w:rsid w:val="000D7018"/>
    <w:rsid w:val="000D75FD"/>
    <w:rsid w:val="000D781F"/>
    <w:rsid w:val="000D7984"/>
    <w:rsid w:val="000E0883"/>
    <w:rsid w:val="000E08DD"/>
    <w:rsid w:val="000E09F5"/>
    <w:rsid w:val="000E0DC7"/>
    <w:rsid w:val="000E0FC2"/>
    <w:rsid w:val="000E1461"/>
    <w:rsid w:val="000E1D09"/>
    <w:rsid w:val="000E23B5"/>
    <w:rsid w:val="000E2DE1"/>
    <w:rsid w:val="000E30CC"/>
    <w:rsid w:val="000E36C3"/>
    <w:rsid w:val="000E3A6A"/>
    <w:rsid w:val="000E3C27"/>
    <w:rsid w:val="000E3C64"/>
    <w:rsid w:val="000E51F2"/>
    <w:rsid w:val="000E5463"/>
    <w:rsid w:val="000E6C80"/>
    <w:rsid w:val="000E78F6"/>
    <w:rsid w:val="000E7EF4"/>
    <w:rsid w:val="000E7F8A"/>
    <w:rsid w:val="000E7F9A"/>
    <w:rsid w:val="000F0219"/>
    <w:rsid w:val="000F08AD"/>
    <w:rsid w:val="000F0D6F"/>
    <w:rsid w:val="000F0E6F"/>
    <w:rsid w:val="000F11C0"/>
    <w:rsid w:val="000F1267"/>
    <w:rsid w:val="000F13EB"/>
    <w:rsid w:val="000F1EE8"/>
    <w:rsid w:val="000F210B"/>
    <w:rsid w:val="000F2268"/>
    <w:rsid w:val="000F26AA"/>
    <w:rsid w:val="000F2B4C"/>
    <w:rsid w:val="000F2CEF"/>
    <w:rsid w:val="000F2ED1"/>
    <w:rsid w:val="000F3315"/>
    <w:rsid w:val="000F3465"/>
    <w:rsid w:val="000F36EE"/>
    <w:rsid w:val="000F3B7B"/>
    <w:rsid w:val="000F3FAD"/>
    <w:rsid w:val="000F4332"/>
    <w:rsid w:val="000F4578"/>
    <w:rsid w:val="000F4845"/>
    <w:rsid w:val="000F4D59"/>
    <w:rsid w:val="000F4F61"/>
    <w:rsid w:val="000F557E"/>
    <w:rsid w:val="000F57CE"/>
    <w:rsid w:val="000F590D"/>
    <w:rsid w:val="000F5F7B"/>
    <w:rsid w:val="000F60AA"/>
    <w:rsid w:val="000F63CC"/>
    <w:rsid w:val="000F687A"/>
    <w:rsid w:val="000F6970"/>
    <w:rsid w:val="000F752B"/>
    <w:rsid w:val="000F7782"/>
    <w:rsid w:val="000F7CCB"/>
    <w:rsid w:val="000F7D92"/>
    <w:rsid w:val="00100679"/>
    <w:rsid w:val="0010089A"/>
    <w:rsid w:val="00100F90"/>
    <w:rsid w:val="00101302"/>
    <w:rsid w:val="001013DE"/>
    <w:rsid w:val="001015F2"/>
    <w:rsid w:val="0010164C"/>
    <w:rsid w:val="001016F5"/>
    <w:rsid w:val="001017A7"/>
    <w:rsid w:val="00101C40"/>
    <w:rsid w:val="00101D88"/>
    <w:rsid w:val="001023AD"/>
    <w:rsid w:val="0010240C"/>
    <w:rsid w:val="00102B22"/>
    <w:rsid w:val="00103460"/>
    <w:rsid w:val="00103A9B"/>
    <w:rsid w:val="00104427"/>
    <w:rsid w:val="001059E4"/>
    <w:rsid w:val="001062B9"/>
    <w:rsid w:val="0010644D"/>
    <w:rsid w:val="0010645F"/>
    <w:rsid w:val="00106B4B"/>
    <w:rsid w:val="00106C21"/>
    <w:rsid w:val="00106D65"/>
    <w:rsid w:val="00106E63"/>
    <w:rsid w:val="00106FCE"/>
    <w:rsid w:val="00107066"/>
    <w:rsid w:val="00107725"/>
    <w:rsid w:val="001077ED"/>
    <w:rsid w:val="001078A0"/>
    <w:rsid w:val="00107C02"/>
    <w:rsid w:val="00110B9A"/>
    <w:rsid w:val="00110D12"/>
    <w:rsid w:val="00111148"/>
    <w:rsid w:val="0011143C"/>
    <w:rsid w:val="00112021"/>
    <w:rsid w:val="001122DD"/>
    <w:rsid w:val="001124E6"/>
    <w:rsid w:val="00112BD9"/>
    <w:rsid w:val="00112CB0"/>
    <w:rsid w:val="00113AA5"/>
    <w:rsid w:val="00113C33"/>
    <w:rsid w:val="00113EB6"/>
    <w:rsid w:val="00114734"/>
    <w:rsid w:val="00114737"/>
    <w:rsid w:val="00114922"/>
    <w:rsid w:val="00114C4E"/>
    <w:rsid w:val="00115311"/>
    <w:rsid w:val="00115F63"/>
    <w:rsid w:val="0011614E"/>
    <w:rsid w:val="0011628C"/>
    <w:rsid w:val="00116603"/>
    <w:rsid w:val="00116ADD"/>
    <w:rsid w:val="00117200"/>
    <w:rsid w:val="00117465"/>
    <w:rsid w:val="00117655"/>
    <w:rsid w:val="00117699"/>
    <w:rsid w:val="001205B3"/>
    <w:rsid w:val="001206B5"/>
    <w:rsid w:val="001206B6"/>
    <w:rsid w:val="00120FE0"/>
    <w:rsid w:val="0012153C"/>
    <w:rsid w:val="0012158E"/>
    <w:rsid w:val="001215AB"/>
    <w:rsid w:val="00122277"/>
    <w:rsid w:val="00122C9D"/>
    <w:rsid w:val="00122D27"/>
    <w:rsid w:val="00122E12"/>
    <w:rsid w:val="001232CA"/>
    <w:rsid w:val="00123A95"/>
    <w:rsid w:val="0012406F"/>
    <w:rsid w:val="001247C5"/>
    <w:rsid w:val="00124BB1"/>
    <w:rsid w:val="0012572C"/>
    <w:rsid w:val="0012572F"/>
    <w:rsid w:val="00125D70"/>
    <w:rsid w:val="0012621C"/>
    <w:rsid w:val="0012641C"/>
    <w:rsid w:val="001273AF"/>
    <w:rsid w:val="001273C3"/>
    <w:rsid w:val="0012740E"/>
    <w:rsid w:val="00127835"/>
    <w:rsid w:val="00127F13"/>
    <w:rsid w:val="001306D6"/>
    <w:rsid w:val="001309B9"/>
    <w:rsid w:val="00130E74"/>
    <w:rsid w:val="001311C5"/>
    <w:rsid w:val="001315A8"/>
    <w:rsid w:val="00132180"/>
    <w:rsid w:val="00133162"/>
    <w:rsid w:val="001332DF"/>
    <w:rsid w:val="001333BE"/>
    <w:rsid w:val="001333FD"/>
    <w:rsid w:val="00133FE5"/>
    <w:rsid w:val="001345A2"/>
    <w:rsid w:val="0013525E"/>
    <w:rsid w:val="00135562"/>
    <w:rsid w:val="001358DD"/>
    <w:rsid w:val="00135B1F"/>
    <w:rsid w:val="00135C7E"/>
    <w:rsid w:val="001368EB"/>
    <w:rsid w:val="00136983"/>
    <w:rsid w:val="001369EB"/>
    <w:rsid w:val="00136B8F"/>
    <w:rsid w:val="00136F62"/>
    <w:rsid w:val="00137021"/>
    <w:rsid w:val="00137618"/>
    <w:rsid w:val="00137A5C"/>
    <w:rsid w:val="001401D7"/>
    <w:rsid w:val="0014054F"/>
    <w:rsid w:val="00140A96"/>
    <w:rsid w:val="00140BE8"/>
    <w:rsid w:val="00140C5C"/>
    <w:rsid w:val="00140ECC"/>
    <w:rsid w:val="00140F4C"/>
    <w:rsid w:val="001416B4"/>
    <w:rsid w:val="00141BBB"/>
    <w:rsid w:val="00141CB2"/>
    <w:rsid w:val="00141DC6"/>
    <w:rsid w:val="00141E3C"/>
    <w:rsid w:val="00141F53"/>
    <w:rsid w:val="00142038"/>
    <w:rsid w:val="00142C6A"/>
    <w:rsid w:val="00142DB5"/>
    <w:rsid w:val="001441DA"/>
    <w:rsid w:val="0014444F"/>
    <w:rsid w:val="001444E7"/>
    <w:rsid w:val="0014483A"/>
    <w:rsid w:val="00144967"/>
    <w:rsid w:val="00144FF8"/>
    <w:rsid w:val="00145936"/>
    <w:rsid w:val="00145E11"/>
    <w:rsid w:val="00145F06"/>
    <w:rsid w:val="0014630B"/>
    <w:rsid w:val="00146406"/>
    <w:rsid w:val="00146DE3"/>
    <w:rsid w:val="001470B9"/>
    <w:rsid w:val="00147514"/>
    <w:rsid w:val="001476B7"/>
    <w:rsid w:val="001478AA"/>
    <w:rsid w:val="00147DAC"/>
    <w:rsid w:val="001502B1"/>
    <w:rsid w:val="001509FE"/>
    <w:rsid w:val="00150A19"/>
    <w:rsid w:val="00151143"/>
    <w:rsid w:val="00151388"/>
    <w:rsid w:val="00151404"/>
    <w:rsid w:val="001515FC"/>
    <w:rsid w:val="0015190B"/>
    <w:rsid w:val="0015274D"/>
    <w:rsid w:val="00152944"/>
    <w:rsid w:val="00152D41"/>
    <w:rsid w:val="00153060"/>
    <w:rsid w:val="001530A4"/>
    <w:rsid w:val="0015358B"/>
    <w:rsid w:val="0015361F"/>
    <w:rsid w:val="001537DC"/>
    <w:rsid w:val="00153B4D"/>
    <w:rsid w:val="00153F2B"/>
    <w:rsid w:val="00154BC7"/>
    <w:rsid w:val="00154BFE"/>
    <w:rsid w:val="00155496"/>
    <w:rsid w:val="00155661"/>
    <w:rsid w:val="0015568A"/>
    <w:rsid w:val="00155969"/>
    <w:rsid w:val="00155E54"/>
    <w:rsid w:val="00156202"/>
    <w:rsid w:val="00156392"/>
    <w:rsid w:val="0015690F"/>
    <w:rsid w:val="00156CA7"/>
    <w:rsid w:val="00157384"/>
    <w:rsid w:val="00157586"/>
    <w:rsid w:val="00157880"/>
    <w:rsid w:val="00157EDA"/>
    <w:rsid w:val="001605E0"/>
    <w:rsid w:val="0016074E"/>
    <w:rsid w:val="00160AE8"/>
    <w:rsid w:val="00160F2A"/>
    <w:rsid w:val="001616C5"/>
    <w:rsid w:val="00161B8D"/>
    <w:rsid w:val="00161DD9"/>
    <w:rsid w:val="00161E2B"/>
    <w:rsid w:val="00162293"/>
    <w:rsid w:val="001626F0"/>
    <w:rsid w:val="00162995"/>
    <w:rsid w:val="00162AAC"/>
    <w:rsid w:val="00163650"/>
    <w:rsid w:val="00163802"/>
    <w:rsid w:val="001638F0"/>
    <w:rsid w:val="0016390E"/>
    <w:rsid w:val="00164200"/>
    <w:rsid w:val="00164313"/>
    <w:rsid w:val="00164593"/>
    <w:rsid w:val="001647CB"/>
    <w:rsid w:val="00164819"/>
    <w:rsid w:val="00164896"/>
    <w:rsid w:val="0016519D"/>
    <w:rsid w:val="001655CD"/>
    <w:rsid w:val="00165641"/>
    <w:rsid w:val="00165AD7"/>
    <w:rsid w:val="00166115"/>
    <w:rsid w:val="00166276"/>
    <w:rsid w:val="001670B5"/>
    <w:rsid w:val="0016737A"/>
    <w:rsid w:val="0016769E"/>
    <w:rsid w:val="00167A62"/>
    <w:rsid w:val="00167C4D"/>
    <w:rsid w:val="00167ED0"/>
    <w:rsid w:val="0016C534"/>
    <w:rsid w:val="001705CA"/>
    <w:rsid w:val="00170966"/>
    <w:rsid w:val="001709FB"/>
    <w:rsid w:val="00170AA4"/>
    <w:rsid w:val="00170F1B"/>
    <w:rsid w:val="00170F44"/>
    <w:rsid w:val="001715D7"/>
    <w:rsid w:val="00171CEA"/>
    <w:rsid w:val="00172367"/>
    <w:rsid w:val="001723DA"/>
    <w:rsid w:val="00172556"/>
    <w:rsid w:val="00172ABB"/>
    <w:rsid w:val="00172DB9"/>
    <w:rsid w:val="00172EEF"/>
    <w:rsid w:val="0017335D"/>
    <w:rsid w:val="001736D1"/>
    <w:rsid w:val="001743C4"/>
    <w:rsid w:val="00174C14"/>
    <w:rsid w:val="00175643"/>
    <w:rsid w:val="001757F9"/>
    <w:rsid w:val="00175A06"/>
    <w:rsid w:val="001761F7"/>
    <w:rsid w:val="001765A5"/>
    <w:rsid w:val="00176673"/>
    <w:rsid w:val="001767DD"/>
    <w:rsid w:val="00177953"/>
    <w:rsid w:val="00177D10"/>
    <w:rsid w:val="00180659"/>
    <w:rsid w:val="001813B8"/>
    <w:rsid w:val="00181470"/>
    <w:rsid w:val="00181483"/>
    <w:rsid w:val="00181DE1"/>
    <w:rsid w:val="00181F3E"/>
    <w:rsid w:val="001825A5"/>
    <w:rsid w:val="00182714"/>
    <w:rsid w:val="00182EF2"/>
    <w:rsid w:val="0018322C"/>
    <w:rsid w:val="00183240"/>
    <w:rsid w:val="00183638"/>
    <w:rsid w:val="0018388B"/>
    <w:rsid w:val="00183991"/>
    <w:rsid w:val="00183F78"/>
    <w:rsid w:val="00184B4D"/>
    <w:rsid w:val="00184F86"/>
    <w:rsid w:val="0018519E"/>
    <w:rsid w:val="001852E9"/>
    <w:rsid w:val="00185703"/>
    <w:rsid w:val="00185B86"/>
    <w:rsid w:val="00185F9A"/>
    <w:rsid w:val="001864CB"/>
    <w:rsid w:val="00186568"/>
    <w:rsid w:val="00186A81"/>
    <w:rsid w:val="00186DDD"/>
    <w:rsid w:val="001870DF"/>
    <w:rsid w:val="00187E32"/>
    <w:rsid w:val="00187FD5"/>
    <w:rsid w:val="00190559"/>
    <w:rsid w:val="0019057E"/>
    <w:rsid w:val="00190AD1"/>
    <w:rsid w:val="00191063"/>
    <w:rsid w:val="00191115"/>
    <w:rsid w:val="00191181"/>
    <w:rsid w:val="001917FC"/>
    <w:rsid w:val="00191C36"/>
    <w:rsid w:val="00191D61"/>
    <w:rsid w:val="00192882"/>
    <w:rsid w:val="00192955"/>
    <w:rsid w:val="00193255"/>
    <w:rsid w:val="0019325C"/>
    <w:rsid w:val="00193923"/>
    <w:rsid w:val="00193C23"/>
    <w:rsid w:val="00193D64"/>
    <w:rsid w:val="00194CD9"/>
    <w:rsid w:val="00194E6B"/>
    <w:rsid w:val="0019519A"/>
    <w:rsid w:val="00195223"/>
    <w:rsid w:val="001952AE"/>
    <w:rsid w:val="001959C3"/>
    <w:rsid w:val="00195D1E"/>
    <w:rsid w:val="00195DF8"/>
    <w:rsid w:val="00196141"/>
    <w:rsid w:val="001969D4"/>
    <w:rsid w:val="001A02D6"/>
    <w:rsid w:val="001A082B"/>
    <w:rsid w:val="001A0C82"/>
    <w:rsid w:val="001A0D02"/>
    <w:rsid w:val="001A16A7"/>
    <w:rsid w:val="001A1C96"/>
    <w:rsid w:val="001A1CA6"/>
    <w:rsid w:val="001A1D68"/>
    <w:rsid w:val="001A230B"/>
    <w:rsid w:val="001A2AFE"/>
    <w:rsid w:val="001A330B"/>
    <w:rsid w:val="001A36FD"/>
    <w:rsid w:val="001A381C"/>
    <w:rsid w:val="001A3BFC"/>
    <w:rsid w:val="001A3C4E"/>
    <w:rsid w:val="001A3CAE"/>
    <w:rsid w:val="001A4772"/>
    <w:rsid w:val="001A48CE"/>
    <w:rsid w:val="001A4E41"/>
    <w:rsid w:val="001A4FB4"/>
    <w:rsid w:val="001A5246"/>
    <w:rsid w:val="001A579E"/>
    <w:rsid w:val="001A5905"/>
    <w:rsid w:val="001A5EA3"/>
    <w:rsid w:val="001A5EDD"/>
    <w:rsid w:val="001A64ED"/>
    <w:rsid w:val="001A6694"/>
    <w:rsid w:val="001A67F7"/>
    <w:rsid w:val="001A687F"/>
    <w:rsid w:val="001A6CEC"/>
    <w:rsid w:val="001A759B"/>
    <w:rsid w:val="001A75C3"/>
    <w:rsid w:val="001A7FBD"/>
    <w:rsid w:val="001B0247"/>
    <w:rsid w:val="001B07D5"/>
    <w:rsid w:val="001B0D0D"/>
    <w:rsid w:val="001B0E2B"/>
    <w:rsid w:val="001B11C7"/>
    <w:rsid w:val="001B12CB"/>
    <w:rsid w:val="001B1B21"/>
    <w:rsid w:val="001B1B4D"/>
    <w:rsid w:val="001B1C20"/>
    <w:rsid w:val="001B2047"/>
    <w:rsid w:val="001B28F2"/>
    <w:rsid w:val="001B2C15"/>
    <w:rsid w:val="001B2D06"/>
    <w:rsid w:val="001B2EA4"/>
    <w:rsid w:val="001B3492"/>
    <w:rsid w:val="001B47AF"/>
    <w:rsid w:val="001B50A6"/>
    <w:rsid w:val="001B510F"/>
    <w:rsid w:val="001B59A4"/>
    <w:rsid w:val="001B59C8"/>
    <w:rsid w:val="001B72E9"/>
    <w:rsid w:val="001B73D9"/>
    <w:rsid w:val="001B7D4F"/>
    <w:rsid w:val="001C07D7"/>
    <w:rsid w:val="001C0D51"/>
    <w:rsid w:val="001C1028"/>
    <w:rsid w:val="001C1268"/>
    <w:rsid w:val="001C1653"/>
    <w:rsid w:val="001C237A"/>
    <w:rsid w:val="001C2E05"/>
    <w:rsid w:val="001C2EB0"/>
    <w:rsid w:val="001C320A"/>
    <w:rsid w:val="001C329C"/>
    <w:rsid w:val="001C4029"/>
    <w:rsid w:val="001C4219"/>
    <w:rsid w:val="001C4229"/>
    <w:rsid w:val="001C494A"/>
    <w:rsid w:val="001C4B80"/>
    <w:rsid w:val="001C4CB5"/>
    <w:rsid w:val="001C4F87"/>
    <w:rsid w:val="001C5CEE"/>
    <w:rsid w:val="001C66D4"/>
    <w:rsid w:val="001C6950"/>
    <w:rsid w:val="001C7A35"/>
    <w:rsid w:val="001D0160"/>
    <w:rsid w:val="001D0672"/>
    <w:rsid w:val="001D0BD6"/>
    <w:rsid w:val="001D0F98"/>
    <w:rsid w:val="001D12A2"/>
    <w:rsid w:val="001D1ADE"/>
    <w:rsid w:val="001D2486"/>
    <w:rsid w:val="001D27F5"/>
    <w:rsid w:val="001D2B3D"/>
    <w:rsid w:val="001D2D58"/>
    <w:rsid w:val="001D3476"/>
    <w:rsid w:val="001D34DE"/>
    <w:rsid w:val="001D36E8"/>
    <w:rsid w:val="001D3AF2"/>
    <w:rsid w:val="001D3DB9"/>
    <w:rsid w:val="001D3F2F"/>
    <w:rsid w:val="001D3F76"/>
    <w:rsid w:val="001D47D1"/>
    <w:rsid w:val="001D4DCF"/>
    <w:rsid w:val="001D4F0D"/>
    <w:rsid w:val="001D5C34"/>
    <w:rsid w:val="001D5C90"/>
    <w:rsid w:val="001D609A"/>
    <w:rsid w:val="001D6111"/>
    <w:rsid w:val="001D6377"/>
    <w:rsid w:val="001D63DE"/>
    <w:rsid w:val="001D64D3"/>
    <w:rsid w:val="001D6737"/>
    <w:rsid w:val="001D6C27"/>
    <w:rsid w:val="001D715C"/>
    <w:rsid w:val="001D71B0"/>
    <w:rsid w:val="001D79D2"/>
    <w:rsid w:val="001D7B30"/>
    <w:rsid w:val="001D7DE5"/>
    <w:rsid w:val="001D7E2F"/>
    <w:rsid w:val="001D7E60"/>
    <w:rsid w:val="001E135B"/>
    <w:rsid w:val="001E1759"/>
    <w:rsid w:val="001E1EEB"/>
    <w:rsid w:val="001E2003"/>
    <w:rsid w:val="001E2304"/>
    <w:rsid w:val="001E2347"/>
    <w:rsid w:val="001E24B3"/>
    <w:rsid w:val="001E3131"/>
    <w:rsid w:val="001E32BA"/>
    <w:rsid w:val="001E32DA"/>
    <w:rsid w:val="001E363A"/>
    <w:rsid w:val="001E42A0"/>
    <w:rsid w:val="001E445B"/>
    <w:rsid w:val="001E48BC"/>
    <w:rsid w:val="001E492E"/>
    <w:rsid w:val="001E4BA0"/>
    <w:rsid w:val="001E4BD7"/>
    <w:rsid w:val="001E4CBB"/>
    <w:rsid w:val="001E4F81"/>
    <w:rsid w:val="001E5539"/>
    <w:rsid w:val="001E5B4D"/>
    <w:rsid w:val="001E6076"/>
    <w:rsid w:val="001E6737"/>
    <w:rsid w:val="001E6DD4"/>
    <w:rsid w:val="001E6E63"/>
    <w:rsid w:val="001E73BD"/>
    <w:rsid w:val="001E7D9C"/>
    <w:rsid w:val="001E7F2E"/>
    <w:rsid w:val="001F0365"/>
    <w:rsid w:val="001F0985"/>
    <w:rsid w:val="001F0C9F"/>
    <w:rsid w:val="001F0D3F"/>
    <w:rsid w:val="001F0E3B"/>
    <w:rsid w:val="001F13EF"/>
    <w:rsid w:val="001F13FA"/>
    <w:rsid w:val="001F157C"/>
    <w:rsid w:val="001F1AED"/>
    <w:rsid w:val="001F1CB5"/>
    <w:rsid w:val="001F1D1D"/>
    <w:rsid w:val="001F1E9E"/>
    <w:rsid w:val="001F1EC2"/>
    <w:rsid w:val="001F255A"/>
    <w:rsid w:val="001F256D"/>
    <w:rsid w:val="001F266F"/>
    <w:rsid w:val="001F33B3"/>
    <w:rsid w:val="001F33DE"/>
    <w:rsid w:val="001F36E9"/>
    <w:rsid w:val="001F39DC"/>
    <w:rsid w:val="001F3A6B"/>
    <w:rsid w:val="001F4075"/>
    <w:rsid w:val="001F415F"/>
    <w:rsid w:val="001F4579"/>
    <w:rsid w:val="001F4DE4"/>
    <w:rsid w:val="001F5340"/>
    <w:rsid w:val="001F55FF"/>
    <w:rsid w:val="001F753E"/>
    <w:rsid w:val="001F7AC8"/>
    <w:rsid w:val="001F7D38"/>
    <w:rsid w:val="0020049F"/>
    <w:rsid w:val="00200D30"/>
    <w:rsid w:val="002012C6"/>
    <w:rsid w:val="00201924"/>
    <w:rsid w:val="00201AE5"/>
    <w:rsid w:val="00201CD9"/>
    <w:rsid w:val="002020CB"/>
    <w:rsid w:val="002026F9"/>
    <w:rsid w:val="002028B6"/>
    <w:rsid w:val="00203414"/>
    <w:rsid w:val="00203770"/>
    <w:rsid w:val="00203923"/>
    <w:rsid w:val="00203CE2"/>
    <w:rsid w:val="00203D2D"/>
    <w:rsid w:val="00203D63"/>
    <w:rsid w:val="002046AE"/>
    <w:rsid w:val="00204805"/>
    <w:rsid w:val="00205056"/>
    <w:rsid w:val="00205204"/>
    <w:rsid w:val="002053A2"/>
    <w:rsid w:val="00205525"/>
    <w:rsid w:val="002057C7"/>
    <w:rsid w:val="00206526"/>
    <w:rsid w:val="002077CA"/>
    <w:rsid w:val="00207E1C"/>
    <w:rsid w:val="00207E37"/>
    <w:rsid w:val="00210056"/>
    <w:rsid w:val="00210772"/>
    <w:rsid w:val="00210D73"/>
    <w:rsid w:val="00211350"/>
    <w:rsid w:val="002119A0"/>
    <w:rsid w:val="00211AB9"/>
    <w:rsid w:val="00211CB0"/>
    <w:rsid w:val="00212100"/>
    <w:rsid w:val="00212766"/>
    <w:rsid w:val="0021283E"/>
    <w:rsid w:val="00212DE4"/>
    <w:rsid w:val="00213694"/>
    <w:rsid w:val="00213AED"/>
    <w:rsid w:val="002146AF"/>
    <w:rsid w:val="002146D9"/>
    <w:rsid w:val="002148E4"/>
    <w:rsid w:val="002157F7"/>
    <w:rsid w:val="00215E10"/>
    <w:rsid w:val="002160EB"/>
    <w:rsid w:val="00216F2C"/>
    <w:rsid w:val="0021742B"/>
    <w:rsid w:val="00217ACB"/>
    <w:rsid w:val="00217F99"/>
    <w:rsid w:val="0022002E"/>
    <w:rsid w:val="00220231"/>
    <w:rsid w:val="0022025F"/>
    <w:rsid w:val="00220677"/>
    <w:rsid w:val="00220B04"/>
    <w:rsid w:val="00220B23"/>
    <w:rsid w:val="00220DD4"/>
    <w:rsid w:val="002214B8"/>
    <w:rsid w:val="002216D0"/>
    <w:rsid w:val="00221701"/>
    <w:rsid w:val="0022182A"/>
    <w:rsid w:val="00221957"/>
    <w:rsid w:val="0022198E"/>
    <w:rsid w:val="00221A3A"/>
    <w:rsid w:val="002230AB"/>
    <w:rsid w:val="002234D6"/>
    <w:rsid w:val="0022366F"/>
    <w:rsid w:val="00223FC5"/>
    <w:rsid w:val="00224383"/>
    <w:rsid w:val="002244A9"/>
    <w:rsid w:val="002246BE"/>
    <w:rsid w:val="00225209"/>
    <w:rsid w:val="002255A4"/>
    <w:rsid w:val="00225A9E"/>
    <w:rsid w:val="00225AF2"/>
    <w:rsid w:val="00226452"/>
    <w:rsid w:val="00226726"/>
    <w:rsid w:val="002267C7"/>
    <w:rsid w:val="00226C6F"/>
    <w:rsid w:val="00226D90"/>
    <w:rsid w:val="00226F0C"/>
    <w:rsid w:val="00227396"/>
    <w:rsid w:val="00227B01"/>
    <w:rsid w:val="00230250"/>
    <w:rsid w:val="00230892"/>
    <w:rsid w:val="00230997"/>
    <w:rsid w:val="002315B6"/>
    <w:rsid w:val="00231D3A"/>
    <w:rsid w:val="00231E4B"/>
    <w:rsid w:val="002322F3"/>
    <w:rsid w:val="002329A8"/>
    <w:rsid w:val="00232BF1"/>
    <w:rsid w:val="00232F36"/>
    <w:rsid w:val="00233136"/>
    <w:rsid w:val="00233542"/>
    <w:rsid w:val="002335BE"/>
    <w:rsid w:val="002337A6"/>
    <w:rsid w:val="00233B4C"/>
    <w:rsid w:val="00233B4E"/>
    <w:rsid w:val="00233C7D"/>
    <w:rsid w:val="00234C6E"/>
    <w:rsid w:val="00236162"/>
    <w:rsid w:val="00236698"/>
    <w:rsid w:val="002369DE"/>
    <w:rsid w:val="00236EEA"/>
    <w:rsid w:val="00236F71"/>
    <w:rsid w:val="002376A5"/>
    <w:rsid w:val="002376A7"/>
    <w:rsid w:val="002376E3"/>
    <w:rsid w:val="0023797D"/>
    <w:rsid w:val="0024037F"/>
    <w:rsid w:val="00240D7B"/>
    <w:rsid w:val="00240E91"/>
    <w:rsid w:val="0024118A"/>
    <w:rsid w:val="002415BD"/>
    <w:rsid w:val="00241D7C"/>
    <w:rsid w:val="00242BB1"/>
    <w:rsid w:val="00242C55"/>
    <w:rsid w:val="002434FC"/>
    <w:rsid w:val="00243852"/>
    <w:rsid w:val="0024399A"/>
    <w:rsid w:val="00243E25"/>
    <w:rsid w:val="002445F2"/>
    <w:rsid w:val="00244D86"/>
    <w:rsid w:val="00245224"/>
    <w:rsid w:val="002452EF"/>
    <w:rsid w:val="00245927"/>
    <w:rsid w:val="00245974"/>
    <w:rsid w:val="00245ACD"/>
    <w:rsid w:val="00245F29"/>
    <w:rsid w:val="00246930"/>
    <w:rsid w:val="0024697C"/>
    <w:rsid w:val="00246BA6"/>
    <w:rsid w:val="00246C64"/>
    <w:rsid w:val="0024740F"/>
    <w:rsid w:val="00247B0F"/>
    <w:rsid w:val="00247E42"/>
    <w:rsid w:val="00250403"/>
    <w:rsid w:val="0025091F"/>
    <w:rsid w:val="00250B62"/>
    <w:rsid w:val="00251A65"/>
    <w:rsid w:val="00251C9A"/>
    <w:rsid w:val="00252838"/>
    <w:rsid w:val="002529E9"/>
    <w:rsid w:val="00252BCF"/>
    <w:rsid w:val="0025313E"/>
    <w:rsid w:val="0025315C"/>
    <w:rsid w:val="0025326E"/>
    <w:rsid w:val="00253655"/>
    <w:rsid w:val="002538B3"/>
    <w:rsid w:val="002539B3"/>
    <w:rsid w:val="00253E00"/>
    <w:rsid w:val="00254012"/>
    <w:rsid w:val="00254191"/>
    <w:rsid w:val="002544F5"/>
    <w:rsid w:val="00254C07"/>
    <w:rsid w:val="00254EF6"/>
    <w:rsid w:val="00254FBD"/>
    <w:rsid w:val="002551EC"/>
    <w:rsid w:val="002555FE"/>
    <w:rsid w:val="002556FC"/>
    <w:rsid w:val="00255786"/>
    <w:rsid w:val="002558EA"/>
    <w:rsid w:val="00255CD1"/>
    <w:rsid w:val="00256052"/>
    <w:rsid w:val="0025622E"/>
    <w:rsid w:val="00256887"/>
    <w:rsid w:val="00256C7D"/>
    <w:rsid w:val="00256E45"/>
    <w:rsid w:val="00256FBC"/>
    <w:rsid w:val="00257898"/>
    <w:rsid w:val="002601D0"/>
    <w:rsid w:val="002609B7"/>
    <w:rsid w:val="00260CAC"/>
    <w:rsid w:val="00260D1E"/>
    <w:rsid w:val="00260FFE"/>
    <w:rsid w:val="00261280"/>
    <w:rsid w:val="00261F4D"/>
    <w:rsid w:val="0026234F"/>
    <w:rsid w:val="002630CF"/>
    <w:rsid w:val="0026370C"/>
    <w:rsid w:val="00263860"/>
    <w:rsid w:val="00263891"/>
    <w:rsid w:val="002638F3"/>
    <w:rsid w:val="00264C1F"/>
    <w:rsid w:val="002650F6"/>
    <w:rsid w:val="00265166"/>
    <w:rsid w:val="00265168"/>
    <w:rsid w:val="002651C4"/>
    <w:rsid w:val="002653C7"/>
    <w:rsid w:val="00265ADE"/>
    <w:rsid w:val="0026626A"/>
    <w:rsid w:val="002664C2"/>
    <w:rsid w:val="002673FC"/>
    <w:rsid w:val="002677CC"/>
    <w:rsid w:val="00267A5C"/>
    <w:rsid w:val="00267B13"/>
    <w:rsid w:val="00267BBE"/>
    <w:rsid w:val="00267DAC"/>
    <w:rsid w:val="00267DC8"/>
    <w:rsid w:val="0027023D"/>
    <w:rsid w:val="00270B78"/>
    <w:rsid w:val="00270E97"/>
    <w:rsid w:val="00271326"/>
    <w:rsid w:val="0027155C"/>
    <w:rsid w:val="002715FB"/>
    <w:rsid w:val="00271C1E"/>
    <w:rsid w:val="0027205D"/>
    <w:rsid w:val="00272083"/>
    <w:rsid w:val="00272570"/>
    <w:rsid w:val="0027260B"/>
    <w:rsid w:val="00272B27"/>
    <w:rsid w:val="0027302B"/>
    <w:rsid w:val="0027322C"/>
    <w:rsid w:val="002734C9"/>
    <w:rsid w:val="00274246"/>
    <w:rsid w:val="00274332"/>
    <w:rsid w:val="002743D4"/>
    <w:rsid w:val="00274A6E"/>
    <w:rsid w:val="00274B3C"/>
    <w:rsid w:val="00274DBD"/>
    <w:rsid w:val="00274F48"/>
    <w:rsid w:val="00274F6B"/>
    <w:rsid w:val="00274F90"/>
    <w:rsid w:val="0027528F"/>
    <w:rsid w:val="00275612"/>
    <w:rsid w:val="002757ED"/>
    <w:rsid w:val="00275ED4"/>
    <w:rsid w:val="00275F61"/>
    <w:rsid w:val="002760B4"/>
    <w:rsid w:val="00276488"/>
    <w:rsid w:val="00276BEF"/>
    <w:rsid w:val="0027736D"/>
    <w:rsid w:val="0027758E"/>
    <w:rsid w:val="002807D3"/>
    <w:rsid w:val="00280C5C"/>
    <w:rsid w:val="00281790"/>
    <w:rsid w:val="002819A8"/>
    <w:rsid w:val="00281E77"/>
    <w:rsid w:val="00282310"/>
    <w:rsid w:val="00283A6A"/>
    <w:rsid w:val="00283EE4"/>
    <w:rsid w:val="00284317"/>
    <w:rsid w:val="002850F6"/>
    <w:rsid w:val="00285A2F"/>
    <w:rsid w:val="00285B28"/>
    <w:rsid w:val="002868F8"/>
    <w:rsid w:val="0028721D"/>
    <w:rsid w:val="00287D97"/>
    <w:rsid w:val="00290C7C"/>
    <w:rsid w:val="00291200"/>
    <w:rsid w:val="00291A2B"/>
    <w:rsid w:val="00291C64"/>
    <w:rsid w:val="00291C6B"/>
    <w:rsid w:val="002939EB"/>
    <w:rsid w:val="00293F78"/>
    <w:rsid w:val="002949E9"/>
    <w:rsid w:val="00294D51"/>
    <w:rsid w:val="00295034"/>
    <w:rsid w:val="00295221"/>
    <w:rsid w:val="0029537A"/>
    <w:rsid w:val="00295E7A"/>
    <w:rsid w:val="00296C38"/>
    <w:rsid w:val="00296D79"/>
    <w:rsid w:val="002975A3"/>
    <w:rsid w:val="00297B7C"/>
    <w:rsid w:val="00297E2C"/>
    <w:rsid w:val="002A0478"/>
    <w:rsid w:val="002A07AD"/>
    <w:rsid w:val="002A0E20"/>
    <w:rsid w:val="002A1895"/>
    <w:rsid w:val="002A18D2"/>
    <w:rsid w:val="002A1FDC"/>
    <w:rsid w:val="002A2825"/>
    <w:rsid w:val="002A2938"/>
    <w:rsid w:val="002A2B57"/>
    <w:rsid w:val="002A2C07"/>
    <w:rsid w:val="002A2F86"/>
    <w:rsid w:val="002A3061"/>
    <w:rsid w:val="002A3A85"/>
    <w:rsid w:val="002A3C72"/>
    <w:rsid w:val="002A3D2F"/>
    <w:rsid w:val="002A3E35"/>
    <w:rsid w:val="002A4756"/>
    <w:rsid w:val="002A52C3"/>
    <w:rsid w:val="002A5432"/>
    <w:rsid w:val="002A5BF4"/>
    <w:rsid w:val="002A5E75"/>
    <w:rsid w:val="002A5F3E"/>
    <w:rsid w:val="002A6A6E"/>
    <w:rsid w:val="002A6EBF"/>
    <w:rsid w:val="002A7165"/>
    <w:rsid w:val="002A74DD"/>
    <w:rsid w:val="002A7F9C"/>
    <w:rsid w:val="002B0619"/>
    <w:rsid w:val="002B1330"/>
    <w:rsid w:val="002B1B37"/>
    <w:rsid w:val="002B2019"/>
    <w:rsid w:val="002B2383"/>
    <w:rsid w:val="002B29EE"/>
    <w:rsid w:val="002B2B49"/>
    <w:rsid w:val="002B2F9D"/>
    <w:rsid w:val="002B3410"/>
    <w:rsid w:val="002B36CE"/>
    <w:rsid w:val="002B3A51"/>
    <w:rsid w:val="002B3C33"/>
    <w:rsid w:val="002B41CF"/>
    <w:rsid w:val="002B43AB"/>
    <w:rsid w:val="002B46B1"/>
    <w:rsid w:val="002B495A"/>
    <w:rsid w:val="002B4C23"/>
    <w:rsid w:val="002B4D15"/>
    <w:rsid w:val="002B617A"/>
    <w:rsid w:val="002B6198"/>
    <w:rsid w:val="002B64A6"/>
    <w:rsid w:val="002B695F"/>
    <w:rsid w:val="002B6990"/>
    <w:rsid w:val="002B6B39"/>
    <w:rsid w:val="002B7295"/>
    <w:rsid w:val="002B73BD"/>
    <w:rsid w:val="002B76E4"/>
    <w:rsid w:val="002C0356"/>
    <w:rsid w:val="002C063C"/>
    <w:rsid w:val="002C0985"/>
    <w:rsid w:val="002C0A30"/>
    <w:rsid w:val="002C0D2A"/>
    <w:rsid w:val="002C14B9"/>
    <w:rsid w:val="002C184B"/>
    <w:rsid w:val="002C1856"/>
    <w:rsid w:val="002C1A21"/>
    <w:rsid w:val="002C1AC1"/>
    <w:rsid w:val="002C1B09"/>
    <w:rsid w:val="002C1FC7"/>
    <w:rsid w:val="002C2235"/>
    <w:rsid w:val="002C23D0"/>
    <w:rsid w:val="002C26F6"/>
    <w:rsid w:val="002C2B0F"/>
    <w:rsid w:val="002C30D0"/>
    <w:rsid w:val="002C36AF"/>
    <w:rsid w:val="002C36C2"/>
    <w:rsid w:val="002C3890"/>
    <w:rsid w:val="002C3914"/>
    <w:rsid w:val="002C3FD8"/>
    <w:rsid w:val="002C4E82"/>
    <w:rsid w:val="002C501C"/>
    <w:rsid w:val="002C5262"/>
    <w:rsid w:val="002C5428"/>
    <w:rsid w:val="002C5624"/>
    <w:rsid w:val="002C57E6"/>
    <w:rsid w:val="002C6BBA"/>
    <w:rsid w:val="002C6E48"/>
    <w:rsid w:val="002C6EBF"/>
    <w:rsid w:val="002C7796"/>
    <w:rsid w:val="002C7F03"/>
    <w:rsid w:val="002D032B"/>
    <w:rsid w:val="002D0446"/>
    <w:rsid w:val="002D0823"/>
    <w:rsid w:val="002D0D8C"/>
    <w:rsid w:val="002D0E2E"/>
    <w:rsid w:val="002D0F9E"/>
    <w:rsid w:val="002D15B4"/>
    <w:rsid w:val="002D1C3C"/>
    <w:rsid w:val="002D2C54"/>
    <w:rsid w:val="002D2F46"/>
    <w:rsid w:val="002D3253"/>
    <w:rsid w:val="002D3275"/>
    <w:rsid w:val="002D33DE"/>
    <w:rsid w:val="002D3798"/>
    <w:rsid w:val="002D39E4"/>
    <w:rsid w:val="002D3E07"/>
    <w:rsid w:val="002D4206"/>
    <w:rsid w:val="002D4651"/>
    <w:rsid w:val="002D478E"/>
    <w:rsid w:val="002D4C4A"/>
    <w:rsid w:val="002D4E97"/>
    <w:rsid w:val="002D5029"/>
    <w:rsid w:val="002D5047"/>
    <w:rsid w:val="002D5BB3"/>
    <w:rsid w:val="002D5E66"/>
    <w:rsid w:val="002D6626"/>
    <w:rsid w:val="002D6741"/>
    <w:rsid w:val="002D687E"/>
    <w:rsid w:val="002D6887"/>
    <w:rsid w:val="002D74E0"/>
    <w:rsid w:val="002D78BA"/>
    <w:rsid w:val="002D7FBD"/>
    <w:rsid w:val="002E00AE"/>
    <w:rsid w:val="002E0416"/>
    <w:rsid w:val="002E04F7"/>
    <w:rsid w:val="002E05D9"/>
    <w:rsid w:val="002E10A7"/>
    <w:rsid w:val="002E1736"/>
    <w:rsid w:val="002E1A67"/>
    <w:rsid w:val="002E1C0C"/>
    <w:rsid w:val="002E1C1B"/>
    <w:rsid w:val="002E1D64"/>
    <w:rsid w:val="002E200F"/>
    <w:rsid w:val="002E2126"/>
    <w:rsid w:val="002E22E1"/>
    <w:rsid w:val="002E231B"/>
    <w:rsid w:val="002E2660"/>
    <w:rsid w:val="002E307E"/>
    <w:rsid w:val="002E3A0D"/>
    <w:rsid w:val="002E41FF"/>
    <w:rsid w:val="002E425E"/>
    <w:rsid w:val="002E43F7"/>
    <w:rsid w:val="002E44F0"/>
    <w:rsid w:val="002E4532"/>
    <w:rsid w:val="002E4D07"/>
    <w:rsid w:val="002E50CC"/>
    <w:rsid w:val="002E516D"/>
    <w:rsid w:val="002E578A"/>
    <w:rsid w:val="002E5D05"/>
    <w:rsid w:val="002E6E85"/>
    <w:rsid w:val="002E6F9A"/>
    <w:rsid w:val="002E746C"/>
    <w:rsid w:val="002E7A1F"/>
    <w:rsid w:val="002F0898"/>
    <w:rsid w:val="002F08B0"/>
    <w:rsid w:val="002F08B2"/>
    <w:rsid w:val="002F1205"/>
    <w:rsid w:val="002F1590"/>
    <w:rsid w:val="002F1A2C"/>
    <w:rsid w:val="002F1AC9"/>
    <w:rsid w:val="002F1C88"/>
    <w:rsid w:val="002F2E49"/>
    <w:rsid w:val="002F3037"/>
    <w:rsid w:val="002F3096"/>
    <w:rsid w:val="002F31C2"/>
    <w:rsid w:val="002F34E2"/>
    <w:rsid w:val="002F4BE1"/>
    <w:rsid w:val="002F51F8"/>
    <w:rsid w:val="002F59A0"/>
    <w:rsid w:val="002F5B63"/>
    <w:rsid w:val="002F6626"/>
    <w:rsid w:val="002F6E02"/>
    <w:rsid w:val="002F72F0"/>
    <w:rsid w:val="002F7524"/>
    <w:rsid w:val="002F756B"/>
    <w:rsid w:val="002F7608"/>
    <w:rsid w:val="002F7B66"/>
    <w:rsid w:val="002F7BF8"/>
    <w:rsid w:val="003002EE"/>
    <w:rsid w:val="003004B9"/>
    <w:rsid w:val="00300772"/>
    <w:rsid w:val="00300925"/>
    <w:rsid w:val="00300A42"/>
    <w:rsid w:val="00300E79"/>
    <w:rsid w:val="00301135"/>
    <w:rsid w:val="00301360"/>
    <w:rsid w:val="00301611"/>
    <w:rsid w:val="00301AA0"/>
    <w:rsid w:val="00301DBC"/>
    <w:rsid w:val="003024DA"/>
    <w:rsid w:val="00302726"/>
    <w:rsid w:val="00302BF2"/>
    <w:rsid w:val="00302C2D"/>
    <w:rsid w:val="00303235"/>
    <w:rsid w:val="003037C3"/>
    <w:rsid w:val="0030393E"/>
    <w:rsid w:val="00303A99"/>
    <w:rsid w:val="00303B02"/>
    <w:rsid w:val="00303B39"/>
    <w:rsid w:val="003040C4"/>
    <w:rsid w:val="00304AD3"/>
    <w:rsid w:val="00304E90"/>
    <w:rsid w:val="00304F28"/>
    <w:rsid w:val="00305089"/>
    <w:rsid w:val="003053CA"/>
    <w:rsid w:val="00305586"/>
    <w:rsid w:val="00305650"/>
    <w:rsid w:val="00305CC3"/>
    <w:rsid w:val="00305D68"/>
    <w:rsid w:val="00306639"/>
    <w:rsid w:val="003067D5"/>
    <w:rsid w:val="00306871"/>
    <w:rsid w:val="003070C8"/>
    <w:rsid w:val="003075C1"/>
    <w:rsid w:val="00307625"/>
    <w:rsid w:val="00307AF1"/>
    <w:rsid w:val="00307D72"/>
    <w:rsid w:val="00310B2D"/>
    <w:rsid w:val="00310C75"/>
    <w:rsid w:val="00310FB5"/>
    <w:rsid w:val="00311B57"/>
    <w:rsid w:val="00311E8B"/>
    <w:rsid w:val="00312660"/>
    <w:rsid w:val="00312C01"/>
    <w:rsid w:val="00312ECE"/>
    <w:rsid w:val="00312FB0"/>
    <w:rsid w:val="00313141"/>
    <w:rsid w:val="00313F30"/>
    <w:rsid w:val="00314083"/>
    <w:rsid w:val="00314089"/>
    <w:rsid w:val="00314775"/>
    <w:rsid w:val="003157BC"/>
    <w:rsid w:val="003158EF"/>
    <w:rsid w:val="00316174"/>
    <w:rsid w:val="00316279"/>
    <w:rsid w:val="003163E3"/>
    <w:rsid w:val="00316BBB"/>
    <w:rsid w:val="00316D6A"/>
    <w:rsid w:val="0031744F"/>
    <w:rsid w:val="00317A50"/>
    <w:rsid w:val="00317ED0"/>
    <w:rsid w:val="00317F7A"/>
    <w:rsid w:val="00320B1A"/>
    <w:rsid w:val="00320DDB"/>
    <w:rsid w:val="0032294A"/>
    <w:rsid w:val="00322C75"/>
    <w:rsid w:val="00322D60"/>
    <w:rsid w:val="00322DCA"/>
    <w:rsid w:val="0032378B"/>
    <w:rsid w:val="00323BB2"/>
    <w:rsid w:val="00323C3C"/>
    <w:rsid w:val="00323F76"/>
    <w:rsid w:val="00323FE4"/>
    <w:rsid w:val="00324234"/>
    <w:rsid w:val="003242E7"/>
    <w:rsid w:val="003245AB"/>
    <w:rsid w:val="003246FB"/>
    <w:rsid w:val="00324736"/>
    <w:rsid w:val="00324CAA"/>
    <w:rsid w:val="0032626C"/>
    <w:rsid w:val="00327624"/>
    <w:rsid w:val="00327D05"/>
    <w:rsid w:val="00327FB3"/>
    <w:rsid w:val="003301F5"/>
    <w:rsid w:val="003302A8"/>
    <w:rsid w:val="003304C3"/>
    <w:rsid w:val="003311A5"/>
    <w:rsid w:val="0033133A"/>
    <w:rsid w:val="003314A9"/>
    <w:rsid w:val="0033163E"/>
    <w:rsid w:val="00331FA5"/>
    <w:rsid w:val="0033205E"/>
    <w:rsid w:val="003322F2"/>
    <w:rsid w:val="0033232B"/>
    <w:rsid w:val="00332498"/>
    <w:rsid w:val="00332B5E"/>
    <w:rsid w:val="00332FE5"/>
    <w:rsid w:val="00333243"/>
    <w:rsid w:val="003335EB"/>
    <w:rsid w:val="00334063"/>
    <w:rsid w:val="003342DE"/>
    <w:rsid w:val="003343E5"/>
    <w:rsid w:val="003349A1"/>
    <w:rsid w:val="00335667"/>
    <w:rsid w:val="003357A5"/>
    <w:rsid w:val="003366B3"/>
    <w:rsid w:val="00336883"/>
    <w:rsid w:val="003402DE"/>
    <w:rsid w:val="00340EFA"/>
    <w:rsid w:val="00340FED"/>
    <w:rsid w:val="00341525"/>
    <w:rsid w:val="003417F9"/>
    <w:rsid w:val="003418E7"/>
    <w:rsid w:val="00341991"/>
    <w:rsid w:val="00341BA4"/>
    <w:rsid w:val="0034223C"/>
    <w:rsid w:val="003422F9"/>
    <w:rsid w:val="00342854"/>
    <w:rsid w:val="003429EE"/>
    <w:rsid w:val="00343268"/>
    <w:rsid w:val="00343676"/>
    <w:rsid w:val="003439EF"/>
    <w:rsid w:val="00343B5A"/>
    <w:rsid w:val="003441E9"/>
    <w:rsid w:val="00344397"/>
    <w:rsid w:val="0034458C"/>
    <w:rsid w:val="00344733"/>
    <w:rsid w:val="00344A2E"/>
    <w:rsid w:val="00344A8D"/>
    <w:rsid w:val="00345326"/>
    <w:rsid w:val="0034559B"/>
    <w:rsid w:val="0034578B"/>
    <w:rsid w:val="0034591D"/>
    <w:rsid w:val="00345A0F"/>
    <w:rsid w:val="00346381"/>
    <w:rsid w:val="00346D1E"/>
    <w:rsid w:val="00346E53"/>
    <w:rsid w:val="00347050"/>
    <w:rsid w:val="003471E0"/>
    <w:rsid w:val="003477A8"/>
    <w:rsid w:val="00350350"/>
    <w:rsid w:val="00350404"/>
    <w:rsid w:val="003509AF"/>
    <w:rsid w:val="00350A68"/>
    <w:rsid w:val="00350CDD"/>
    <w:rsid w:val="00350E59"/>
    <w:rsid w:val="00350EB0"/>
    <w:rsid w:val="00351A52"/>
    <w:rsid w:val="00351D08"/>
    <w:rsid w:val="00351E99"/>
    <w:rsid w:val="00352F69"/>
    <w:rsid w:val="00353BFC"/>
    <w:rsid w:val="00353EA1"/>
    <w:rsid w:val="00355803"/>
    <w:rsid w:val="0035590C"/>
    <w:rsid w:val="00356450"/>
    <w:rsid w:val="003568BF"/>
    <w:rsid w:val="00356C18"/>
    <w:rsid w:val="00357A15"/>
    <w:rsid w:val="00357B39"/>
    <w:rsid w:val="00357C2E"/>
    <w:rsid w:val="00357F11"/>
    <w:rsid w:val="00360262"/>
    <w:rsid w:val="0036041F"/>
    <w:rsid w:val="0036067D"/>
    <w:rsid w:val="0036072E"/>
    <w:rsid w:val="00360D0C"/>
    <w:rsid w:val="00360D31"/>
    <w:rsid w:val="00360E9D"/>
    <w:rsid w:val="003621E9"/>
    <w:rsid w:val="003623EF"/>
    <w:rsid w:val="00362FE9"/>
    <w:rsid w:val="0036300F"/>
    <w:rsid w:val="00363386"/>
    <w:rsid w:val="0036339B"/>
    <w:rsid w:val="003646FB"/>
    <w:rsid w:val="0036489A"/>
    <w:rsid w:val="00364DD5"/>
    <w:rsid w:val="00365F3B"/>
    <w:rsid w:val="00366211"/>
    <w:rsid w:val="003662B4"/>
    <w:rsid w:val="003664ED"/>
    <w:rsid w:val="00366919"/>
    <w:rsid w:val="0036696D"/>
    <w:rsid w:val="00366A27"/>
    <w:rsid w:val="00366CC6"/>
    <w:rsid w:val="003672F2"/>
    <w:rsid w:val="0036745B"/>
    <w:rsid w:val="003675BC"/>
    <w:rsid w:val="00367626"/>
    <w:rsid w:val="00367980"/>
    <w:rsid w:val="003679BC"/>
    <w:rsid w:val="00367C2D"/>
    <w:rsid w:val="00367E96"/>
    <w:rsid w:val="003701A0"/>
    <w:rsid w:val="003702DD"/>
    <w:rsid w:val="003704E7"/>
    <w:rsid w:val="00370821"/>
    <w:rsid w:val="00371323"/>
    <w:rsid w:val="00371382"/>
    <w:rsid w:val="00371494"/>
    <w:rsid w:val="00371955"/>
    <w:rsid w:val="00371D88"/>
    <w:rsid w:val="00372C82"/>
    <w:rsid w:val="00372EAD"/>
    <w:rsid w:val="00372FC4"/>
    <w:rsid w:val="003733A8"/>
    <w:rsid w:val="003735DB"/>
    <w:rsid w:val="003738A4"/>
    <w:rsid w:val="00373CD0"/>
    <w:rsid w:val="00373E91"/>
    <w:rsid w:val="003741A3"/>
    <w:rsid w:val="00374387"/>
    <w:rsid w:val="003746EE"/>
    <w:rsid w:val="003749C5"/>
    <w:rsid w:val="00374BC5"/>
    <w:rsid w:val="00375294"/>
    <w:rsid w:val="003755EA"/>
    <w:rsid w:val="00375714"/>
    <w:rsid w:val="00375859"/>
    <w:rsid w:val="003758E7"/>
    <w:rsid w:val="00375C4E"/>
    <w:rsid w:val="00376544"/>
    <w:rsid w:val="003768F7"/>
    <w:rsid w:val="00376A75"/>
    <w:rsid w:val="00376DF6"/>
    <w:rsid w:val="003775B4"/>
    <w:rsid w:val="003777E1"/>
    <w:rsid w:val="003779F9"/>
    <w:rsid w:val="00377ECF"/>
    <w:rsid w:val="00380253"/>
    <w:rsid w:val="00380350"/>
    <w:rsid w:val="00380987"/>
    <w:rsid w:val="00380E4F"/>
    <w:rsid w:val="00381C6E"/>
    <w:rsid w:val="0038206B"/>
    <w:rsid w:val="0038284C"/>
    <w:rsid w:val="00382A43"/>
    <w:rsid w:val="00382C97"/>
    <w:rsid w:val="00382F6A"/>
    <w:rsid w:val="003832B4"/>
    <w:rsid w:val="003839C7"/>
    <w:rsid w:val="00383B6B"/>
    <w:rsid w:val="00383CCF"/>
    <w:rsid w:val="003844C8"/>
    <w:rsid w:val="00384D68"/>
    <w:rsid w:val="003851BB"/>
    <w:rsid w:val="00385B3A"/>
    <w:rsid w:val="00385B52"/>
    <w:rsid w:val="003861AC"/>
    <w:rsid w:val="00386CC3"/>
    <w:rsid w:val="00387052"/>
    <w:rsid w:val="00387378"/>
    <w:rsid w:val="00387519"/>
    <w:rsid w:val="00390466"/>
    <w:rsid w:val="00390723"/>
    <w:rsid w:val="003909FB"/>
    <w:rsid w:val="00391F2F"/>
    <w:rsid w:val="0039289B"/>
    <w:rsid w:val="003928D1"/>
    <w:rsid w:val="003928FF"/>
    <w:rsid w:val="00392C7A"/>
    <w:rsid w:val="0039337D"/>
    <w:rsid w:val="0039359F"/>
    <w:rsid w:val="003936A4"/>
    <w:rsid w:val="003939A8"/>
    <w:rsid w:val="00393EFD"/>
    <w:rsid w:val="00393F09"/>
    <w:rsid w:val="003941CC"/>
    <w:rsid w:val="00394803"/>
    <w:rsid w:val="0039495B"/>
    <w:rsid w:val="00394F7E"/>
    <w:rsid w:val="0039586B"/>
    <w:rsid w:val="00396101"/>
    <w:rsid w:val="003966A8"/>
    <w:rsid w:val="00396F08"/>
    <w:rsid w:val="0039789C"/>
    <w:rsid w:val="003A019C"/>
    <w:rsid w:val="003A0342"/>
    <w:rsid w:val="003A04DC"/>
    <w:rsid w:val="003A0531"/>
    <w:rsid w:val="003A06C1"/>
    <w:rsid w:val="003A0956"/>
    <w:rsid w:val="003A0D02"/>
    <w:rsid w:val="003A12EE"/>
    <w:rsid w:val="003A1808"/>
    <w:rsid w:val="003A234C"/>
    <w:rsid w:val="003A244A"/>
    <w:rsid w:val="003A271E"/>
    <w:rsid w:val="003A3239"/>
    <w:rsid w:val="003A3A08"/>
    <w:rsid w:val="003A3DE3"/>
    <w:rsid w:val="003A3F83"/>
    <w:rsid w:val="003A41EA"/>
    <w:rsid w:val="003A4304"/>
    <w:rsid w:val="003A46C9"/>
    <w:rsid w:val="003A50F0"/>
    <w:rsid w:val="003A5219"/>
    <w:rsid w:val="003A5B63"/>
    <w:rsid w:val="003A613C"/>
    <w:rsid w:val="003A68FD"/>
    <w:rsid w:val="003A6EF7"/>
    <w:rsid w:val="003A7395"/>
    <w:rsid w:val="003A75FB"/>
    <w:rsid w:val="003B0062"/>
    <w:rsid w:val="003B139D"/>
    <w:rsid w:val="003B1E53"/>
    <w:rsid w:val="003B1F26"/>
    <w:rsid w:val="003B2128"/>
    <w:rsid w:val="003B2844"/>
    <w:rsid w:val="003B2A0A"/>
    <w:rsid w:val="003B2EA2"/>
    <w:rsid w:val="003B3373"/>
    <w:rsid w:val="003B33A2"/>
    <w:rsid w:val="003B35F5"/>
    <w:rsid w:val="003B46FB"/>
    <w:rsid w:val="003B4E89"/>
    <w:rsid w:val="003B5651"/>
    <w:rsid w:val="003B5B12"/>
    <w:rsid w:val="003B5B1D"/>
    <w:rsid w:val="003B62E9"/>
    <w:rsid w:val="003B655D"/>
    <w:rsid w:val="003B6824"/>
    <w:rsid w:val="003B6855"/>
    <w:rsid w:val="003B7044"/>
    <w:rsid w:val="003B7CAD"/>
    <w:rsid w:val="003C0109"/>
    <w:rsid w:val="003C0B75"/>
    <w:rsid w:val="003C1537"/>
    <w:rsid w:val="003C1CF5"/>
    <w:rsid w:val="003C1EC3"/>
    <w:rsid w:val="003C2262"/>
    <w:rsid w:val="003C2CA7"/>
    <w:rsid w:val="003C2D9F"/>
    <w:rsid w:val="003C3295"/>
    <w:rsid w:val="003C3596"/>
    <w:rsid w:val="003C36DD"/>
    <w:rsid w:val="003C3D51"/>
    <w:rsid w:val="003C3D82"/>
    <w:rsid w:val="003C4263"/>
    <w:rsid w:val="003C4C62"/>
    <w:rsid w:val="003C4CBF"/>
    <w:rsid w:val="003C4E8A"/>
    <w:rsid w:val="003C5120"/>
    <w:rsid w:val="003C5507"/>
    <w:rsid w:val="003C5539"/>
    <w:rsid w:val="003C59C5"/>
    <w:rsid w:val="003C5BF3"/>
    <w:rsid w:val="003C5C20"/>
    <w:rsid w:val="003C7214"/>
    <w:rsid w:val="003C738A"/>
    <w:rsid w:val="003C746B"/>
    <w:rsid w:val="003C74C2"/>
    <w:rsid w:val="003C75A7"/>
    <w:rsid w:val="003C7672"/>
    <w:rsid w:val="003C79D5"/>
    <w:rsid w:val="003D09A1"/>
    <w:rsid w:val="003D0D53"/>
    <w:rsid w:val="003D1019"/>
    <w:rsid w:val="003D14F6"/>
    <w:rsid w:val="003D1506"/>
    <w:rsid w:val="003D1B04"/>
    <w:rsid w:val="003D248D"/>
    <w:rsid w:val="003D2672"/>
    <w:rsid w:val="003D2844"/>
    <w:rsid w:val="003D2D9A"/>
    <w:rsid w:val="003D342B"/>
    <w:rsid w:val="003D3A40"/>
    <w:rsid w:val="003D3BFC"/>
    <w:rsid w:val="003D4253"/>
    <w:rsid w:val="003D43EA"/>
    <w:rsid w:val="003D45F1"/>
    <w:rsid w:val="003D5436"/>
    <w:rsid w:val="003D5484"/>
    <w:rsid w:val="003D59F1"/>
    <w:rsid w:val="003D5AF8"/>
    <w:rsid w:val="003D6360"/>
    <w:rsid w:val="003D68DE"/>
    <w:rsid w:val="003D6E66"/>
    <w:rsid w:val="003D71A9"/>
    <w:rsid w:val="003D744A"/>
    <w:rsid w:val="003D753E"/>
    <w:rsid w:val="003D7CEB"/>
    <w:rsid w:val="003D7F34"/>
    <w:rsid w:val="003E0C08"/>
    <w:rsid w:val="003E0EF6"/>
    <w:rsid w:val="003E0F3E"/>
    <w:rsid w:val="003E1182"/>
    <w:rsid w:val="003E18D5"/>
    <w:rsid w:val="003E235D"/>
    <w:rsid w:val="003E23F0"/>
    <w:rsid w:val="003E2B67"/>
    <w:rsid w:val="003E2D07"/>
    <w:rsid w:val="003E2DA1"/>
    <w:rsid w:val="003E2E12"/>
    <w:rsid w:val="003E31AE"/>
    <w:rsid w:val="003E38E2"/>
    <w:rsid w:val="003E3C5D"/>
    <w:rsid w:val="003E4F5F"/>
    <w:rsid w:val="003E513B"/>
    <w:rsid w:val="003E5234"/>
    <w:rsid w:val="003E559C"/>
    <w:rsid w:val="003E59CC"/>
    <w:rsid w:val="003E5E01"/>
    <w:rsid w:val="003E5EBF"/>
    <w:rsid w:val="003E60D6"/>
    <w:rsid w:val="003E64BB"/>
    <w:rsid w:val="003E6532"/>
    <w:rsid w:val="003E6A3A"/>
    <w:rsid w:val="003E6F5F"/>
    <w:rsid w:val="003E72EC"/>
    <w:rsid w:val="003E73CB"/>
    <w:rsid w:val="003E74AA"/>
    <w:rsid w:val="003E775F"/>
    <w:rsid w:val="003E7CFB"/>
    <w:rsid w:val="003E7DAA"/>
    <w:rsid w:val="003F0124"/>
    <w:rsid w:val="003F04EB"/>
    <w:rsid w:val="003F0871"/>
    <w:rsid w:val="003F0CCF"/>
    <w:rsid w:val="003F0EA9"/>
    <w:rsid w:val="003F1320"/>
    <w:rsid w:val="003F14FF"/>
    <w:rsid w:val="003F1615"/>
    <w:rsid w:val="003F1CD2"/>
    <w:rsid w:val="003F2452"/>
    <w:rsid w:val="003F24E3"/>
    <w:rsid w:val="003F26D1"/>
    <w:rsid w:val="003F2CFF"/>
    <w:rsid w:val="003F2DC8"/>
    <w:rsid w:val="003F2F9D"/>
    <w:rsid w:val="003F39E9"/>
    <w:rsid w:val="003F3A59"/>
    <w:rsid w:val="003F3DA3"/>
    <w:rsid w:val="003F436C"/>
    <w:rsid w:val="003F5198"/>
    <w:rsid w:val="003F62AA"/>
    <w:rsid w:val="003F691B"/>
    <w:rsid w:val="003F69B8"/>
    <w:rsid w:val="004004B1"/>
    <w:rsid w:val="00400544"/>
    <w:rsid w:val="004008B1"/>
    <w:rsid w:val="00400A06"/>
    <w:rsid w:val="00400CD6"/>
    <w:rsid w:val="00400FF7"/>
    <w:rsid w:val="004012EB"/>
    <w:rsid w:val="0040135C"/>
    <w:rsid w:val="0040147C"/>
    <w:rsid w:val="00401593"/>
    <w:rsid w:val="004015C5"/>
    <w:rsid w:val="004016E1"/>
    <w:rsid w:val="004017A0"/>
    <w:rsid w:val="0040212E"/>
    <w:rsid w:val="004022BB"/>
    <w:rsid w:val="00402634"/>
    <w:rsid w:val="00402D75"/>
    <w:rsid w:val="00402F52"/>
    <w:rsid w:val="00402FF1"/>
    <w:rsid w:val="0040305A"/>
    <w:rsid w:val="004034E9"/>
    <w:rsid w:val="004043A5"/>
    <w:rsid w:val="004047D0"/>
    <w:rsid w:val="00404A6E"/>
    <w:rsid w:val="00404D45"/>
    <w:rsid w:val="00405836"/>
    <w:rsid w:val="00406631"/>
    <w:rsid w:val="00406774"/>
    <w:rsid w:val="00406B44"/>
    <w:rsid w:val="00406B4C"/>
    <w:rsid w:val="00407490"/>
    <w:rsid w:val="00407935"/>
    <w:rsid w:val="00407962"/>
    <w:rsid w:val="00407F60"/>
    <w:rsid w:val="00410110"/>
    <w:rsid w:val="0041015C"/>
    <w:rsid w:val="0041030F"/>
    <w:rsid w:val="00411013"/>
    <w:rsid w:val="00411039"/>
    <w:rsid w:val="004117DA"/>
    <w:rsid w:val="00411C42"/>
    <w:rsid w:val="00411FA3"/>
    <w:rsid w:val="0041214C"/>
    <w:rsid w:val="00412516"/>
    <w:rsid w:val="00412BA9"/>
    <w:rsid w:val="00412CBA"/>
    <w:rsid w:val="00412FDF"/>
    <w:rsid w:val="00414026"/>
    <w:rsid w:val="004141C2"/>
    <w:rsid w:val="004144F3"/>
    <w:rsid w:val="00414A51"/>
    <w:rsid w:val="00414B92"/>
    <w:rsid w:val="00414EC9"/>
    <w:rsid w:val="00414FD4"/>
    <w:rsid w:val="004151B6"/>
    <w:rsid w:val="0041532B"/>
    <w:rsid w:val="00415744"/>
    <w:rsid w:val="00415F2F"/>
    <w:rsid w:val="00415F47"/>
    <w:rsid w:val="004163D7"/>
    <w:rsid w:val="00416820"/>
    <w:rsid w:val="00416949"/>
    <w:rsid w:val="004169A7"/>
    <w:rsid w:val="004169BB"/>
    <w:rsid w:val="00416A43"/>
    <w:rsid w:val="00417321"/>
    <w:rsid w:val="00417B47"/>
    <w:rsid w:val="00417C06"/>
    <w:rsid w:val="00417DC9"/>
    <w:rsid w:val="00420195"/>
    <w:rsid w:val="004202FF"/>
    <w:rsid w:val="0042049A"/>
    <w:rsid w:val="00420BB6"/>
    <w:rsid w:val="00420F5A"/>
    <w:rsid w:val="00421CCC"/>
    <w:rsid w:val="00421E0B"/>
    <w:rsid w:val="00421FBE"/>
    <w:rsid w:val="00422DFC"/>
    <w:rsid w:val="004237B9"/>
    <w:rsid w:val="00423D77"/>
    <w:rsid w:val="00423F18"/>
    <w:rsid w:val="004242FE"/>
    <w:rsid w:val="00424B2D"/>
    <w:rsid w:val="00424EFF"/>
    <w:rsid w:val="00425354"/>
    <w:rsid w:val="00426241"/>
    <w:rsid w:val="0042634F"/>
    <w:rsid w:val="004267F1"/>
    <w:rsid w:val="00427AC6"/>
    <w:rsid w:val="00427C25"/>
    <w:rsid w:val="00427D22"/>
    <w:rsid w:val="004305F0"/>
    <w:rsid w:val="00430BB1"/>
    <w:rsid w:val="0043103B"/>
    <w:rsid w:val="004312DE"/>
    <w:rsid w:val="00431A63"/>
    <w:rsid w:val="00431A66"/>
    <w:rsid w:val="00431C81"/>
    <w:rsid w:val="00431CFD"/>
    <w:rsid w:val="00431E6F"/>
    <w:rsid w:val="004320C0"/>
    <w:rsid w:val="00432134"/>
    <w:rsid w:val="004324B5"/>
    <w:rsid w:val="00432630"/>
    <w:rsid w:val="00432D29"/>
    <w:rsid w:val="00433535"/>
    <w:rsid w:val="00433714"/>
    <w:rsid w:val="004338D1"/>
    <w:rsid w:val="00433F6F"/>
    <w:rsid w:val="00433FC9"/>
    <w:rsid w:val="00434563"/>
    <w:rsid w:val="00434622"/>
    <w:rsid w:val="004348FD"/>
    <w:rsid w:val="004349BF"/>
    <w:rsid w:val="00434AD0"/>
    <w:rsid w:val="00435574"/>
    <w:rsid w:val="00435A40"/>
    <w:rsid w:val="00435DDA"/>
    <w:rsid w:val="00436CFE"/>
    <w:rsid w:val="004371D1"/>
    <w:rsid w:val="004373C2"/>
    <w:rsid w:val="0043765C"/>
    <w:rsid w:val="004377B4"/>
    <w:rsid w:val="00437FDB"/>
    <w:rsid w:val="0044026A"/>
    <w:rsid w:val="004407EB"/>
    <w:rsid w:val="00440BF1"/>
    <w:rsid w:val="00440CA7"/>
    <w:rsid w:val="00440F88"/>
    <w:rsid w:val="00440FE8"/>
    <w:rsid w:val="0044143A"/>
    <w:rsid w:val="0044182C"/>
    <w:rsid w:val="004424DA"/>
    <w:rsid w:val="00442501"/>
    <w:rsid w:val="00442845"/>
    <w:rsid w:val="00442A38"/>
    <w:rsid w:val="00442ACE"/>
    <w:rsid w:val="00442CA6"/>
    <w:rsid w:val="004431DA"/>
    <w:rsid w:val="004432C4"/>
    <w:rsid w:val="00443704"/>
    <w:rsid w:val="00443B21"/>
    <w:rsid w:val="00443E53"/>
    <w:rsid w:val="0044410E"/>
    <w:rsid w:val="004445C6"/>
    <w:rsid w:val="00444699"/>
    <w:rsid w:val="004447C7"/>
    <w:rsid w:val="00444C52"/>
    <w:rsid w:val="00444D84"/>
    <w:rsid w:val="0044509B"/>
    <w:rsid w:val="0044532F"/>
    <w:rsid w:val="00445A29"/>
    <w:rsid w:val="00445AC4"/>
    <w:rsid w:val="00445C3A"/>
    <w:rsid w:val="004462CC"/>
    <w:rsid w:val="0044633A"/>
    <w:rsid w:val="00447853"/>
    <w:rsid w:val="00447B28"/>
    <w:rsid w:val="004502DA"/>
    <w:rsid w:val="004506C1"/>
    <w:rsid w:val="00450713"/>
    <w:rsid w:val="00450C56"/>
    <w:rsid w:val="00451C36"/>
    <w:rsid w:val="00451FA2"/>
    <w:rsid w:val="00452100"/>
    <w:rsid w:val="004522CB"/>
    <w:rsid w:val="00452B0E"/>
    <w:rsid w:val="00452F6B"/>
    <w:rsid w:val="004531F9"/>
    <w:rsid w:val="004536AA"/>
    <w:rsid w:val="004538CC"/>
    <w:rsid w:val="00453902"/>
    <w:rsid w:val="00453998"/>
    <w:rsid w:val="00453A0C"/>
    <w:rsid w:val="0045440B"/>
    <w:rsid w:val="00454467"/>
    <w:rsid w:val="00454921"/>
    <w:rsid w:val="00454DDC"/>
    <w:rsid w:val="00454ED9"/>
    <w:rsid w:val="00455035"/>
    <w:rsid w:val="0045518A"/>
    <w:rsid w:val="0045622B"/>
    <w:rsid w:val="00456784"/>
    <w:rsid w:val="00456801"/>
    <w:rsid w:val="00456EC3"/>
    <w:rsid w:val="004575B7"/>
    <w:rsid w:val="00457682"/>
    <w:rsid w:val="004579B4"/>
    <w:rsid w:val="004608FB"/>
    <w:rsid w:val="00460D43"/>
    <w:rsid w:val="00460F82"/>
    <w:rsid w:val="00461623"/>
    <w:rsid w:val="004619FF"/>
    <w:rsid w:val="00461B17"/>
    <w:rsid w:val="00461F35"/>
    <w:rsid w:val="004623D0"/>
    <w:rsid w:val="00462B0B"/>
    <w:rsid w:val="00462F3B"/>
    <w:rsid w:val="00463400"/>
    <w:rsid w:val="00463AC6"/>
    <w:rsid w:val="00463B4F"/>
    <w:rsid w:val="00464615"/>
    <w:rsid w:val="004648AC"/>
    <w:rsid w:val="00464C4C"/>
    <w:rsid w:val="004652C7"/>
    <w:rsid w:val="004657D3"/>
    <w:rsid w:val="00465ED7"/>
    <w:rsid w:val="0046612D"/>
    <w:rsid w:val="00466286"/>
    <w:rsid w:val="0046628C"/>
    <w:rsid w:val="00466314"/>
    <w:rsid w:val="00466651"/>
    <w:rsid w:val="00466676"/>
    <w:rsid w:val="0046685D"/>
    <w:rsid w:val="00466ADA"/>
    <w:rsid w:val="0046708E"/>
    <w:rsid w:val="0046750C"/>
    <w:rsid w:val="00467622"/>
    <w:rsid w:val="0046795D"/>
    <w:rsid w:val="00467A26"/>
    <w:rsid w:val="00467EB9"/>
    <w:rsid w:val="0047036E"/>
    <w:rsid w:val="00470408"/>
    <w:rsid w:val="004706D9"/>
    <w:rsid w:val="00470C98"/>
    <w:rsid w:val="00470E44"/>
    <w:rsid w:val="004710CD"/>
    <w:rsid w:val="00471160"/>
    <w:rsid w:val="004716DC"/>
    <w:rsid w:val="004719DB"/>
    <w:rsid w:val="00471EF1"/>
    <w:rsid w:val="004735E3"/>
    <w:rsid w:val="00473A5A"/>
    <w:rsid w:val="00473C95"/>
    <w:rsid w:val="00473E31"/>
    <w:rsid w:val="00473F3C"/>
    <w:rsid w:val="00474132"/>
    <w:rsid w:val="00474530"/>
    <w:rsid w:val="00475EB3"/>
    <w:rsid w:val="00475F05"/>
    <w:rsid w:val="004760DC"/>
    <w:rsid w:val="004760F7"/>
    <w:rsid w:val="0047729F"/>
    <w:rsid w:val="00477B1A"/>
    <w:rsid w:val="0048069A"/>
    <w:rsid w:val="00480BE5"/>
    <w:rsid w:val="00480EEA"/>
    <w:rsid w:val="004810CA"/>
    <w:rsid w:val="004811C2"/>
    <w:rsid w:val="00481649"/>
    <w:rsid w:val="00481846"/>
    <w:rsid w:val="00482036"/>
    <w:rsid w:val="00482849"/>
    <w:rsid w:val="00482B27"/>
    <w:rsid w:val="00483831"/>
    <w:rsid w:val="00483B24"/>
    <w:rsid w:val="00483C59"/>
    <w:rsid w:val="00483D13"/>
    <w:rsid w:val="004840B0"/>
    <w:rsid w:val="00484C55"/>
    <w:rsid w:val="00484FB1"/>
    <w:rsid w:val="004856BA"/>
    <w:rsid w:val="004859D9"/>
    <w:rsid w:val="00485B81"/>
    <w:rsid w:val="0048605B"/>
    <w:rsid w:val="004862E3"/>
    <w:rsid w:val="004864EC"/>
    <w:rsid w:val="004866C4"/>
    <w:rsid w:val="00486798"/>
    <w:rsid w:val="00486891"/>
    <w:rsid w:val="00486D91"/>
    <w:rsid w:val="00486FDF"/>
    <w:rsid w:val="0048734E"/>
    <w:rsid w:val="00490070"/>
    <w:rsid w:val="004904D7"/>
    <w:rsid w:val="004904F0"/>
    <w:rsid w:val="00491023"/>
    <w:rsid w:val="004914A1"/>
    <w:rsid w:val="00491585"/>
    <w:rsid w:val="00491A46"/>
    <w:rsid w:val="00491F63"/>
    <w:rsid w:val="00492296"/>
    <w:rsid w:val="00492333"/>
    <w:rsid w:val="0049242E"/>
    <w:rsid w:val="00492430"/>
    <w:rsid w:val="00492938"/>
    <w:rsid w:val="00492C3D"/>
    <w:rsid w:val="00492C63"/>
    <w:rsid w:val="004934B8"/>
    <w:rsid w:val="00493747"/>
    <w:rsid w:val="004938B5"/>
    <w:rsid w:val="00493AAD"/>
    <w:rsid w:val="00493F6E"/>
    <w:rsid w:val="00494AF9"/>
    <w:rsid w:val="00494B1F"/>
    <w:rsid w:val="00494E38"/>
    <w:rsid w:val="00495959"/>
    <w:rsid w:val="00495E28"/>
    <w:rsid w:val="0049611F"/>
    <w:rsid w:val="0049641A"/>
    <w:rsid w:val="00497641"/>
    <w:rsid w:val="004976EC"/>
    <w:rsid w:val="00497885"/>
    <w:rsid w:val="00497D51"/>
    <w:rsid w:val="004A0281"/>
    <w:rsid w:val="004A04D2"/>
    <w:rsid w:val="004A05BB"/>
    <w:rsid w:val="004A0CFA"/>
    <w:rsid w:val="004A112E"/>
    <w:rsid w:val="004A11FB"/>
    <w:rsid w:val="004A1C37"/>
    <w:rsid w:val="004A1D3F"/>
    <w:rsid w:val="004A1E68"/>
    <w:rsid w:val="004A1FD8"/>
    <w:rsid w:val="004A230D"/>
    <w:rsid w:val="004A2533"/>
    <w:rsid w:val="004A2E08"/>
    <w:rsid w:val="004A3794"/>
    <w:rsid w:val="004A39A5"/>
    <w:rsid w:val="004A3F10"/>
    <w:rsid w:val="004A3F98"/>
    <w:rsid w:val="004A4F42"/>
    <w:rsid w:val="004A5365"/>
    <w:rsid w:val="004A57A1"/>
    <w:rsid w:val="004A5BC6"/>
    <w:rsid w:val="004A5D25"/>
    <w:rsid w:val="004A5D57"/>
    <w:rsid w:val="004A6C15"/>
    <w:rsid w:val="004A6F10"/>
    <w:rsid w:val="004A7329"/>
    <w:rsid w:val="004A78EA"/>
    <w:rsid w:val="004A79A9"/>
    <w:rsid w:val="004B02E9"/>
    <w:rsid w:val="004B0329"/>
    <w:rsid w:val="004B0AE4"/>
    <w:rsid w:val="004B0CF3"/>
    <w:rsid w:val="004B12E2"/>
    <w:rsid w:val="004B135F"/>
    <w:rsid w:val="004B1463"/>
    <w:rsid w:val="004B21E1"/>
    <w:rsid w:val="004B22C5"/>
    <w:rsid w:val="004B2462"/>
    <w:rsid w:val="004B24E1"/>
    <w:rsid w:val="004B287D"/>
    <w:rsid w:val="004B2AD2"/>
    <w:rsid w:val="004B2CA2"/>
    <w:rsid w:val="004B3DB5"/>
    <w:rsid w:val="004B3FF7"/>
    <w:rsid w:val="004B48A2"/>
    <w:rsid w:val="004B4A0F"/>
    <w:rsid w:val="004B4AB0"/>
    <w:rsid w:val="004B4AC0"/>
    <w:rsid w:val="004B4E12"/>
    <w:rsid w:val="004B50F8"/>
    <w:rsid w:val="004B5148"/>
    <w:rsid w:val="004B51CF"/>
    <w:rsid w:val="004B522C"/>
    <w:rsid w:val="004B5626"/>
    <w:rsid w:val="004B582D"/>
    <w:rsid w:val="004B5B86"/>
    <w:rsid w:val="004B5C96"/>
    <w:rsid w:val="004B5D41"/>
    <w:rsid w:val="004B5DDB"/>
    <w:rsid w:val="004B601A"/>
    <w:rsid w:val="004B6038"/>
    <w:rsid w:val="004B6845"/>
    <w:rsid w:val="004B695D"/>
    <w:rsid w:val="004B6A42"/>
    <w:rsid w:val="004B6C79"/>
    <w:rsid w:val="004B6E4E"/>
    <w:rsid w:val="004B6F39"/>
    <w:rsid w:val="004B706E"/>
    <w:rsid w:val="004B7CA0"/>
    <w:rsid w:val="004B7E66"/>
    <w:rsid w:val="004C035B"/>
    <w:rsid w:val="004C069E"/>
    <w:rsid w:val="004C0773"/>
    <w:rsid w:val="004C0E0B"/>
    <w:rsid w:val="004C1A7A"/>
    <w:rsid w:val="004C1F1B"/>
    <w:rsid w:val="004C2565"/>
    <w:rsid w:val="004C26B0"/>
    <w:rsid w:val="004C26D8"/>
    <w:rsid w:val="004C28CA"/>
    <w:rsid w:val="004C2A46"/>
    <w:rsid w:val="004C2FB7"/>
    <w:rsid w:val="004C34C0"/>
    <w:rsid w:val="004C3618"/>
    <w:rsid w:val="004C3709"/>
    <w:rsid w:val="004C3835"/>
    <w:rsid w:val="004C3AA0"/>
    <w:rsid w:val="004C3EC8"/>
    <w:rsid w:val="004C49C6"/>
    <w:rsid w:val="004C4F81"/>
    <w:rsid w:val="004C5A66"/>
    <w:rsid w:val="004C609F"/>
    <w:rsid w:val="004C629C"/>
    <w:rsid w:val="004C64F8"/>
    <w:rsid w:val="004C6E04"/>
    <w:rsid w:val="004C6EB4"/>
    <w:rsid w:val="004C78F8"/>
    <w:rsid w:val="004C7E05"/>
    <w:rsid w:val="004C7E23"/>
    <w:rsid w:val="004D026B"/>
    <w:rsid w:val="004D0A92"/>
    <w:rsid w:val="004D0D21"/>
    <w:rsid w:val="004D0ED2"/>
    <w:rsid w:val="004D0FCA"/>
    <w:rsid w:val="004D1266"/>
    <w:rsid w:val="004D1540"/>
    <w:rsid w:val="004D180B"/>
    <w:rsid w:val="004D1C36"/>
    <w:rsid w:val="004D1E71"/>
    <w:rsid w:val="004D2042"/>
    <w:rsid w:val="004D2244"/>
    <w:rsid w:val="004D2480"/>
    <w:rsid w:val="004D2BC4"/>
    <w:rsid w:val="004D2F85"/>
    <w:rsid w:val="004D323D"/>
    <w:rsid w:val="004D32D7"/>
    <w:rsid w:val="004D3319"/>
    <w:rsid w:val="004D3889"/>
    <w:rsid w:val="004D38CA"/>
    <w:rsid w:val="004D38D9"/>
    <w:rsid w:val="004D4306"/>
    <w:rsid w:val="004D468F"/>
    <w:rsid w:val="004D49A3"/>
    <w:rsid w:val="004D54EB"/>
    <w:rsid w:val="004D5654"/>
    <w:rsid w:val="004D632C"/>
    <w:rsid w:val="004D6486"/>
    <w:rsid w:val="004D6827"/>
    <w:rsid w:val="004D6AFD"/>
    <w:rsid w:val="004D7125"/>
    <w:rsid w:val="004D7492"/>
    <w:rsid w:val="004D7865"/>
    <w:rsid w:val="004D7A6B"/>
    <w:rsid w:val="004D7A81"/>
    <w:rsid w:val="004D7AA3"/>
    <w:rsid w:val="004D7C8F"/>
    <w:rsid w:val="004E013B"/>
    <w:rsid w:val="004E01DA"/>
    <w:rsid w:val="004E09F3"/>
    <w:rsid w:val="004E0AC0"/>
    <w:rsid w:val="004E1576"/>
    <w:rsid w:val="004E1E8E"/>
    <w:rsid w:val="004E22F4"/>
    <w:rsid w:val="004E2B45"/>
    <w:rsid w:val="004E2C11"/>
    <w:rsid w:val="004E31CB"/>
    <w:rsid w:val="004E36DE"/>
    <w:rsid w:val="004E3FE5"/>
    <w:rsid w:val="004E41CB"/>
    <w:rsid w:val="004E42F7"/>
    <w:rsid w:val="004E4F7B"/>
    <w:rsid w:val="004E5108"/>
    <w:rsid w:val="004E5444"/>
    <w:rsid w:val="004E5F76"/>
    <w:rsid w:val="004E64BE"/>
    <w:rsid w:val="004E674B"/>
    <w:rsid w:val="004E69D1"/>
    <w:rsid w:val="004E7272"/>
    <w:rsid w:val="004E7863"/>
    <w:rsid w:val="004E7870"/>
    <w:rsid w:val="004E7A4F"/>
    <w:rsid w:val="004E7A87"/>
    <w:rsid w:val="004E7C84"/>
    <w:rsid w:val="004E7C8D"/>
    <w:rsid w:val="004F0235"/>
    <w:rsid w:val="004F0238"/>
    <w:rsid w:val="004F1FB8"/>
    <w:rsid w:val="004F2634"/>
    <w:rsid w:val="004F2D79"/>
    <w:rsid w:val="004F37D2"/>
    <w:rsid w:val="004F3C33"/>
    <w:rsid w:val="004F3E0B"/>
    <w:rsid w:val="004F4684"/>
    <w:rsid w:val="004F49EA"/>
    <w:rsid w:val="004F4C7E"/>
    <w:rsid w:val="004F5029"/>
    <w:rsid w:val="004F54AC"/>
    <w:rsid w:val="004F54B4"/>
    <w:rsid w:val="004F57B4"/>
    <w:rsid w:val="004F5BBF"/>
    <w:rsid w:val="004F5C04"/>
    <w:rsid w:val="004F670F"/>
    <w:rsid w:val="004F6E4B"/>
    <w:rsid w:val="004F7923"/>
    <w:rsid w:val="004F79CA"/>
    <w:rsid w:val="004F7B2F"/>
    <w:rsid w:val="004F7B8B"/>
    <w:rsid w:val="0050077A"/>
    <w:rsid w:val="00500F23"/>
    <w:rsid w:val="005011D5"/>
    <w:rsid w:val="005019F8"/>
    <w:rsid w:val="00501A42"/>
    <w:rsid w:val="00501A82"/>
    <w:rsid w:val="00502437"/>
    <w:rsid w:val="005025B9"/>
    <w:rsid w:val="00502DA7"/>
    <w:rsid w:val="00503234"/>
    <w:rsid w:val="00503959"/>
    <w:rsid w:val="0050413B"/>
    <w:rsid w:val="00504B6C"/>
    <w:rsid w:val="00505477"/>
    <w:rsid w:val="005055A3"/>
    <w:rsid w:val="00505CEB"/>
    <w:rsid w:val="00506A51"/>
    <w:rsid w:val="00506AB2"/>
    <w:rsid w:val="00506C67"/>
    <w:rsid w:val="00507478"/>
    <w:rsid w:val="0050759F"/>
    <w:rsid w:val="00507D81"/>
    <w:rsid w:val="0051004B"/>
    <w:rsid w:val="0051006D"/>
    <w:rsid w:val="0051023C"/>
    <w:rsid w:val="00510375"/>
    <w:rsid w:val="00510445"/>
    <w:rsid w:val="00511200"/>
    <w:rsid w:val="00511886"/>
    <w:rsid w:val="00511B27"/>
    <w:rsid w:val="005122A1"/>
    <w:rsid w:val="00512769"/>
    <w:rsid w:val="00513260"/>
    <w:rsid w:val="00513829"/>
    <w:rsid w:val="00513AD1"/>
    <w:rsid w:val="00513D63"/>
    <w:rsid w:val="00514009"/>
    <w:rsid w:val="00514471"/>
    <w:rsid w:val="00514754"/>
    <w:rsid w:val="0051482A"/>
    <w:rsid w:val="00514B00"/>
    <w:rsid w:val="00514CE3"/>
    <w:rsid w:val="00514FF0"/>
    <w:rsid w:val="00515080"/>
    <w:rsid w:val="00515510"/>
    <w:rsid w:val="00515A7C"/>
    <w:rsid w:val="00515E13"/>
    <w:rsid w:val="00516247"/>
    <w:rsid w:val="005169E3"/>
    <w:rsid w:val="00516D0F"/>
    <w:rsid w:val="00516E7A"/>
    <w:rsid w:val="0051707D"/>
    <w:rsid w:val="00517119"/>
    <w:rsid w:val="005171F6"/>
    <w:rsid w:val="00517784"/>
    <w:rsid w:val="005177AC"/>
    <w:rsid w:val="00517AF1"/>
    <w:rsid w:val="00520176"/>
    <w:rsid w:val="005208A5"/>
    <w:rsid w:val="0052090B"/>
    <w:rsid w:val="0052178B"/>
    <w:rsid w:val="005219E9"/>
    <w:rsid w:val="00521BFD"/>
    <w:rsid w:val="00521C06"/>
    <w:rsid w:val="00522040"/>
    <w:rsid w:val="0052213E"/>
    <w:rsid w:val="005221E5"/>
    <w:rsid w:val="00522510"/>
    <w:rsid w:val="005225B9"/>
    <w:rsid w:val="0052275D"/>
    <w:rsid w:val="005230B9"/>
    <w:rsid w:val="00523487"/>
    <w:rsid w:val="00523D01"/>
    <w:rsid w:val="005240B8"/>
    <w:rsid w:val="00524215"/>
    <w:rsid w:val="005243B7"/>
    <w:rsid w:val="0052539B"/>
    <w:rsid w:val="00525454"/>
    <w:rsid w:val="0052563C"/>
    <w:rsid w:val="00525766"/>
    <w:rsid w:val="00525DE1"/>
    <w:rsid w:val="00525F8D"/>
    <w:rsid w:val="005265F3"/>
    <w:rsid w:val="00526705"/>
    <w:rsid w:val="00526883"/>
    <w:rsid w:val="005272D5"/>
    <w:rsid w:val="005273D7"/>
    <w:rsid w:val="00527432"/>
    <w:rsid w:val="00527745"/>
    <w:rsid w:val="00527E70"/>
    <w:rsid w:val="00527EC3"/>
    <w:rsid w:val="0053006C"/>
    <w:rsid w:val="0053040E"/>
    <w:rsid w:val="0053061C"/>
    <w:rsid w:val="0053110B"/>
    <w:rsid w:val="00531D38"/>
    <w:rsid w:val="00531DB4"/>
    <w:rsid w:val="00532453"/>
    <w:rsid w:val="005328F3"/>
    <w:rsid w:val="00532E89"/>
    <w:rsid w:val="00532F17"/>
    <w:rsid w:val="00533446"/>
    <w:rsid w:val="00533506"/>
    <w:rsid w:val="0053385C"/>
    <w:rsid w:val="00533916"/>
    <w:rsid w:val="0053407D"/>
    <w:rsid w:val="00534284"/>
    <w:rsid w:val="0053436E"/>
    <w:rsid w:val="00535270"/>
    <w:rsid w:val="005356DE"/>
    <w:rsid w:val="00536126"/>
    <w:rsid w:val="0053651A"/>
    <w:rsid w:val="00536557"/>
    <w:rsid w:val="00536BD5"/>
    <w:rsid w:val="00536F16"/>
    <w:rsid w:val="005373B6"/>
    <w:rsid w:val="00537647"/>
    <w:rsid w:val="00537720"/>
    <w:rsid w:val="00540059"/>
    <w:rsid w:val="00540340"/>
    <w:rsid w:val="005403C0"/>
    <w:rsid w:val="00540A2A"/>
    <w:rsid w:val="00541680"/>
    <w:rsid w:val="00541BDD"/>
    <w:rsid w:val="00541DD1"/>
    <w:rsid w:val="00542117"/>
    <w:rsid w:val="005421BA"/>
    <w:rsid w:val="0054238C"/>
    <w:rsid w:val="005425AA"/>
    <w:rsid w:val="00542A01"/>
    <w:rsid w:val="00542A2D"/>
    <w:rsid w:val="00542D66"/>
    <w:rsid w:val="005432A4"/>
    <w:rsid w:val="00543B0F"/>
    <w:rsid w:val="00543E33"/>
    <w:rsid w:val="00544172"/>
    <w:rsid w:val="00544F92"/>
    <w:rsid w:val="00545620"/>
    <w:rsid w:val="00545800"/>
    <w:rsid w:val="005462F8"/>
    <w:rsid w:val="0054673D"/>
    <w:rsid w:val="00546C71"/>
    <w:rsid w:val="00546DEA"/>
    <w:rsid w:val="00547891"/>
    <w:rsid w:val="00547D76"/>
    <w:rsid w:val="0055009A"/>
    <w:rsid w:val="005500CD"/>
    <w:rsid w:val="0055021D"/>
    <w:rsid w:val="005509B1"/>
    <w:rsid w:val="00550D76"/>
    <w:rsid w:val="005510C4"/>
    <w:rsid w:val="00551508"/>
    <w:rsid w:val="00551ACE"/>
    <w:rsid w:val="00551D03"/>
    <w:rsid w:val="00552975"/>
    <w:rsid w:val="00552DB9"/>
    <w:rsid w:val="0055327B"/>
    <w:rsid w:val="00553484"/>
    <w:rsid w:val="00553D14"/>
    <w:rsid w:val="00554565"/>
    <w:rsid w:val="00554809"/>
    <w:rsid w:val="00554D73"/>
    <w:rsid w:val="00554F9A"/>
    <w:rsid w:val="00555700"/>
    <w:rsid w:val="00555967"/>
    <w:rsid w:val="00555E1F"/>
    <w:rsid w:val="00555E88"/>
    <w:rsid w:val="0055687C"/>
    <w:rsid w:val="00556C0B"/>
    <w:rsid w:val="005571DC"/>
    <w:rsid w:val="005578D8"/>
    <w:rsid w:val="00557C1F"/>
    <w:rsid w:val="00557E63"/>
    <w:rsid w:val="005603A0"/>
    <w:rsid w:val="00560AE4"/>
    <w:rsid w:val="0056178E"/>
    <w:rsid w:val="00561B10"/>
    <w:rsid w:val="00562265"/>
    <w:rsid w:val="005622B6"/>
    <w:rsid w:val="005627BB"/>
    <w:rsid w:val="0056318C"/>
    <w:rsid w:val="005631B5"/>
    <w:rsid w:val="00563353"/>
    <w:rsid w:val="00563BD4"/>
    <w:rsid w:val="00563D0B"/>
    <w:rsid w:val="00563E5B"/>
    <w:rsid w:val="00564268"/>
    <w:rsid w:val="0056472B"/>
    <w:rsid w:val="00564B8D"/>
    <w:rsid w:val="0056506C"/>
    <w:rsid w:val="005650DD"/>
    <w:rsid w:val="00565530"/>
    <w:rsid w:val="00565992"/>
    <w:rsid w:val="00565B4A"/>
    <w:rsid w:val="00565B67"/>
    <w:rsid w:val="00566BB9"/>
    <w:rsid w:val="00567D21"/>
    <w:rsid w:val="005700BB"/>
    <w:rsid w:val="00570A26"/>
    <w:rsid w:val="00570A82"/>
    <w:rsid w:val="00571104"/>
    <w:rsid w:val="0057151D"/>
    <w:rsid w:val="00571726"/>
    <w:rsid w:val="00571C81"/>
    <w:rsid w:val="00571F85"/>
    <w:rsid w:val="00572D72"/>
    <w:rsid w:val="00572E39"/>
    <w:rsid w:val="00572E3C"/>
    <w:rsid w:val="00572E8F"/>
    <w:rsid w:val="00573170"/>
    <w:rsid w:val="00573895"/>
    <w:rsid w:val="005739FE"/>
    <w:rsid w:val="005741CA"/>
    <w:rsid w:val="0057461F"/>
    <w:rsid w:val="0057477B"/>
    <w:rsid w:val="005747F5"/>
    <w:rsid w:val="00574EC5"/>
    <w:rsid w:val="00574EFD"/>
    <w:rsid w:val="0057500E"/>
    <w:rsid w:val="0057517D"/>
    <w:rsid w:val="005753C4"/>
    <w:rsid w:val="00575596"/>
    <w:rsid w:val="00575D54"/>
    <w:rsid w:val="00575DA4"/>
    <w:rsid w:val="005764F7"/>
    <w:rsid w:val="00576563"/>
    <w:rsid w:val="00576BED"/>
    <w:rsid w:val="0057707B"/>
    <w:rsid w:val="00577337"/>
    <w:rsid w:val="005775AC"/>
    <w:rsid w:val="005777C0"/>
    <w:rsid w:val="00577866"/>
    <w:rsid w:val="00577F40"/>
    <w:rsid w:val="005800CD"/>
    <w:rsid w:val="00580281"/>
    <w:rsid w:val="00580659"/>
    <w:rsid w:val="0058160F"/>
    <w:rsid w:val="005818A9"/>
    <w:rsid w:val="00581912"/>
    <w:rsid w:val="00582178"/>
    <w:rsid w:val="005823C3"/>
    <w:rsid w:val="00582B7D"/>
    <w:rsid w:val="00583175"/>
    <w:rsid w:val="00583287"/>
    <w:rsid w:val="00583751"/>
    <w:rsid w:val="00583921"/>
    <w:rsid w:val="00583B77"/>
    <w:rsid w:val="00583FB5"/>
    <w:rsid w:val="005845B8"/>
    <w:rsid w:val="00584737"/>
    <w:rsid w:val="005850FD"/>
    <w:rsid w:val="0058618E"/>
    <w:rsid w:val="00586687"/>
    <w:rsid w:val="00586A38"/>
    <w:rsid w:val="00586DAE"/>
    <w:rsid w:val="00587424"/>
    <w:rsid w:val="00587BF7"/>
    <w:rsid w:val="00587C30"/>
    <w:rsid w:val="00587FF3"/>
    <w:rsid w:val="0059051C"/>
    <w:rsid w:val="0059057A"/>
    <w:rsid w:val="005906FC"/>
    <w:rsid w:val="0059095A"/>
    <w:rsid w:val="005909E4"/>
    <w:rsid w:val="00590FD6"/>
    <w:rsid w:val="0059145E"/>
    <w:rsid w:val="00591477"/>
    <w:rsid w:val="00591A7A"/>
    <w:rsid w:val="00591BA5"/>
    <w:rsid w:val="005927CA"/>
    <w:rsid w:val="00592DBC"/>
    <w:rsid w:val="00593748"/>
    <w:rsid w:val="00593C98"/>
    <w:rsid w:val="005942C4"/>
    <w:rsid w:val="00594408"/>
    <w:rsid w:val="00594993"/>
    <w:rsid w:val="00594AB3"/>
    <w:rsid w:val="0059582E"/>
    <w:rsid w:val="0059586D"/>
    <w:rsid w:val="005959FD"/>
    <w:rsid w:val="00595A15"/>
    <w:rsid w:val="00595B8E"/>
    <w:rsid w:val="00595C1A"/>
    <w:rsid w:val="00595C68"/>
    <w:rsid w:val="00595E09"/>
    <w:rsid w:val="00595ED4"/>
    <w:rsid w:val="00596738"/>
    <w:rsid w:val="005970C9"/>
    <w:rsid w:val="00597D7F"/>
    <w:rsid w:val="00597DFC"/>
    <w:rsid w:val="00597F44"/>
    <w:rsid w:val="0059954A"/>
    <w:rsid w:val="005A0068"/>
    <w:rsid w:val="005A0091"/>
    <w:rsid w:val="005A0191"/>
    <w:rsid w:val="005A0E17"/>
    <w:rsid w:val="005A1009"/>
    <w:rsid w:val="005A1373"/>
    <w:rsid w:val="005A137E"/>
    <w:rsid w:val="005A19B6"/>
    <w:rsid w:val="005A1A5B"/>
    <w:rsid w:val="005A1C53"/>
    <w:rsid w:val="005A25A7"/>
    <w:rsid w:val="005A2852"/>
    <w:rsid w:val="005A3885"/>
    <w:rsid w:val="005A4168"/>
    <w:rsid w:val="005A4422"/>
    <w:rsid w:val="005A4441"/>
    <w:rsid w:val="005A44CC"/>
    <w:rsid w:val="005A45B8"/>
    <w:rsid w:val="005A4921"/>
    <w:rsid w:val="005A4E0B"/>
    <w:rsid w:val="005A5067"/>
    <w:rsid w:val="005A5967"/>
    <w:rsid w:val="005A5A5F"/>
    <w:rsid w:val="005A6619"/>
    <w:rsid w:val="005A6CF6"/>
    <w:rsid w:val="005A6D6B"/>
    <w:rsid w:val="005A7139"/>
    <w:rsid w:val="005A76CF"/>
    <w:rsid w:val="005A7974"/>
    <w:rsid w:val="005A7A4E"/>
    <w:rsid w:val="005A7AEA"/>
    <w:rsid w:val="005A7B48"/>
    <w:rsid w:val="005A7BDB"/>
    <w:rsid w:val="005A7FD6"/>
    <w:rsid w:val="005B0164"/>
    <w:rsid w:val="005B0860"/>
    <w:rsid w:val="005B0C71"/>
    <w:rsid w:val="005B108E"/>
    <w:rsid w:val="005B114B"/>
    <w:rsid w:val="005B15E9"/>
    <w:rsid w:val="005B1C67"/>
    <w:rsid w:val="005B2015"/>
    <w:rsid w:val="005B20E3"/>
    <w:rsid w:val="005B22D1"/>
    <w:rsid w:val="005B257C"/>
    <w:rsid w:val="005B26DA"/>
    <w:rsid w:val="005B2886"/>
    <w:rsid w:val="005B2A25"/>
    <w:rsid w:val="005B2D6E"/>
    <w:rsid w:val="005B31E5"/>
    <w:rsid w:val="005B38AB"/>
    <w:rsid w:val="005B3D42"/>
    <w:rsid w:val="005B3F83"/>
    <w:rsid w:val="005B3FCC"/>
    <w:rsid w:val="005B46B0"/>
    <w:rsid w:val="005B47ED"/>
    <w:rsid w:val="005B4853"/>
    <w:rsid w:val="005B4B5B"/>
    <w:rsid w:val="005B54A4"/>
    <w:rsid w:val="005B562D"/>
    <w:rsid w:val="005B5728"/>
    <w:rsid w:val="005B5B82"/>
    <w:rsid w:val="005B5C78"/>
    <w:rsid w:val="005B5D8A"/>
    <w:rsid w:val="005B5F75"/>
    <w:rsid w:val="005B5FB4"/>
    <w:rsid w:val="005B670F"/>
    <w:rsid w:val="005B698B"/>
    <w:rsid w:val="005B71C1"/>
    <w:rsid w:val="005B780F"/>
    <w:rsid w:val="005C0206"/>
    <w:rsid w:val="005C0402"/>
    <w:rsid w:val="005C0A51"/>
    <w:rsid w:val="005C1192"/>
    <w:rsid w:val="005C181A"/>
    <w:rsid w:val="005C1A56"/>
    <w:rsid w:val="005C220A"/>
    <w:rsid w:val="005C24A2"/>
    <w:rsid w:val="005C2F3C"/>
    <w:rsid w:val="005C3134"/>
    <w:rsid w:val="005C3407"/>
    <w:rsid w:val="005C4325"/>
    <w:rsid w:val="005C52CD"/>
    <w:rsid w:val="005C591F"/>
    <w:rsid w:val="005C5953"/>
    <w:rsid w:val="005C5E27"/>
    <w:rsid w:val="005C5ED7"/>
    <w:rsid w:val="005C5F23"/>
    <w:rsid w:val="005C6058"/>
    <w:rsid w:val="005C6297"/>
    <w:rsid w:val="005C63EA"/>
    <w:rsid w:val="005C6FEA"/>
    <w:rsid w:val="005C74E7"/>
    <w:rsid w:val="005C7A31"/>
    <w:rsid w:val="005C7C14"/>
    <w:rsid w:val="005C7C8D"/>
    <w:rsid w:val="005D0552"/>
    <w:rsid w:val="005D08D5"/>
    <w:rsid w:val="005D0C47"/>
    <w:rsid w:val="005D18F0"/>
    <w:rsid w:val="005D21A1"/>
    <w:rsid w:val="005D2522"/>
    <w:rsid w:val="005D2DDE"/>
    <w:rsid w:val="005D3051"/>
    <w:rsid w:val="005D311D"/>
    <w:rsid w:val="005D3731"/>
    <w:rsid w:val="005D3C0B"/>
    <w:rsid w:val="005D3CD8"/>
    <w:rsid w:val="005D3F9A"/>
    <w:rsid w:val="005D45A7"/>
    <w:rsid w:val="005D47D8"/>
    <w:rsid w:val="005D492E"/>
    <w:rsid w:val="005D49B2"/>
    <w:rsid w:val="005D5515"/>
    <w:rsid w:val="005D5633"/>
    <w:rsid w:val="005D5663"/>
    <w:rsid w:val="005D577D"/>
    <w:rsid w:val="005D61EA"/>
    <w:rsid w:val="005D6210"/>
    <w:rsid w:val="005D626E"/>
    <w:rsid w:val="005D6C6E"/>
    <w:rsid w:val="005D78BC"/>
    <w:rsid w:val="005E039D"/>
    <w:rsid w:val="005E1194"/>
    <w:rsid w:val="005E11D0"/>
    <w:rsid w:val="005E1276"/>
    <w:rsid w:val="005E12F5"/>
    <w:rsid w:val="005E1F38"/>
    <w:rsid w:val="005E23EF"/>
    <w:rsid w:val="005E29CB"/>
    <w:rsid w:val="005E2E1D"/>
    <w:rsid w:val="005E2F94"/>
    <w:rsid w:val="005E30CB"/>
    <w:rsid w:val="005E3EDB"/>
    <w:rsid w:val="005E3FAB"/>
    <w:rsid w:val="005E431B"/>
    <w:rsid w:val="005E461C"/>
    <w:rsid w:val="005E4C02"/>
    <w:rsid w:val="005E4FC9"/>
    <w:rsid w:val="005E57D1"/>
    <w:rsid w:val="005E5B19"/>
    <w:rsid w:val="005E5E61"/>
    <w:rsid w:val="005E601F"/>
    <w:rsid w:val="005E6190"/>
    <w:rsid w:val="005E7086"/>
    <w:rsid w:val="005E7655"/>
    <w:rsid w:val="005E780D"/>
    <w:rsid w:val="005E7A7B"/>
    <w:rsid w:val="005E7CAB"/>
    <w:rsid w:val="005F053D"/>
    <w:rsid w:val="005F095F"/>
    <w:rsid w:val="005F0C71"/>
    <w:rsid w:val="005F0D2C"/>
    <w:rsid w:val="005F0EE9"/>
    <w:rsid w:val="005F10ED"/>
    <w:rsid w:val="005F1502"/>
    <w:rsid w:val="005F1918"/>
    <w:rsid w:val="005F1D29"/>
    <w:rsid w:val="005F2568"/>
    <w:rsid w:val="005F2ACA"/>
    <w:rsid w:val="005F2DF5"/>
    <w:rsid w:val="005F2FFF"/>
    <w:rsid w:val="005F3AD9"/>
    <w:rsid w:val="005F3E10"/>
    <w:rsid w:val="005F4005"/>
    <w:rsid w:val="005F465D"/>
    <w:rsid w:val="005F4867"/>
    <w:rsid w:val="005F4D07"/>
    <w:rsid w:val="005F50CA"/>
    <w:rsid w:val="005F50D4"/>
    <w:rsid w:val="005F57C3"/>
    <w:rsid w:val="005F5875"/>
    <w:rsid w:val="005F58F4"/>
    <w:rsid w:val="005F5FED"/>
    <w:rsid w:val="005F6B4A"/>
    <w:rsid w:val="005F7A96"/>
    <w:rsid w:val="00600187"/>
    <w:rsid w:val="0060023C"/>
    <w:rsid w:val="006003AC"/>
    <w:rsid w:val="006005BE"/>
    <w:rsid w:val="006005FB"/>
    <w:rsid w:val="0060069A"/>
    <w:rsid w:val="006006B0"/>
    <w:rsid w:val="00600D7C"/>
    <w:rsid w:val="00600EEB"/>
    <w:rsid w:val="006012F6"/>
    <w:rsid w:val="006019AD"/>
    <w:rsid w:val="006019CD"/>
    <w:rsid w:val="00601A16"/>
    <w:rsid w:val="00602798"/>
    <w:rsid w:val="00603052"/>
    <w:rsid w:val="006030BF"/>
    <w:rsid w:val="0060313E"/>
    <w:rsid w:val="00603291"/>
    <w:rsid w:val="006038E2"/>
    <w:rsid w:val="00603A52"/>
    <w:rsid w:val="00603D4F"/>
    <w:rsid w:val="0060477B"/>
    <w:rsid w:val="006048BD"/>
    <w:rsid w:val="00604ADD"/>
    <w:rsid w:val="00604B05"/>
    <w:rsid w:val="00604F40"/>
    <w:rsid w:val="0060504A"/>
    <w:rsid w:val="006052BC"/>
    <w:rsid w:val="006056F8"/>
    <w:rsid w:val="006059D6"/>
    <w:rsid w:val="00605BA3"/>
    <w:rsid w:val="00605BF4"/>
    <w:rsid w:val="00605F3B"/>
    <w:rsid w:val="00606038"/>
    <w:rsid w:val="0060618D"/>
    <w:rsid w:val="00606302"/>
    <w:rsid w:val="006067FE"/>
    <w:rsid w:val="00606BA9"/>
    <w:rsid w:val="00606D11"/>
    <w:rsid w:val="00606DA1"/>
    <w:rsid w:val="00607165"/>
    <w:rsid w:val="006072B7"/>
    <w:rsid w:val="006079CA"/>
    <w:rsid w:val="0061060A"/>
    <w:rsid w:val="00610B8D"/>
    <w:rsid w:val="00610E23"/>
    <w:rsid w:val="0061111B"/>
    <w:rsid w:val="006112D0"/>
    <w:rsid w:val="0061148E"/>
    <w:rsid w:val="006117B8"/>
    <w:rsid w:val="00612D42"/>
    <w:rsid w:val="00612D96"/>
    <w:rsid w:val="00612EB8"/>
    <w:rsid w:val="00612FFE"/>
    <w:rsid w:val="0061305F"/>
    <w:rsid w:val="006133F9"/>
    <w:rsid w:val="00613D75"/>
    <w:rsid w:val="00614019"/>
    <w:rsid w:val="0061403E"/>
    <w:rsid w:val="00614385"/>
    <w:rsid w:val="006144F9"/>
    <w:rsid w:val="0061454D"/>
    <w:rsid w:val="00614A86"/>
    <w:rsid w:val="00615DD1"/>
    <w:rsid w:val="00615EE5"/>
    <w:rsid w:val="00615F6F"/>
    <w:rsid w:val="006167B3"/>
    <w:rsid w:val="00616AC5"/>
    <w:rsid w:val="00616BC1"/>
    <w:rsid w:val="00616E7F"/>
    <w:rsid w:val="006176EC"/>
    <w:rsid w:val="00617A30"/>
    <w:rsid w:val="00617A43"/>
    <w:rsid w:val="00617B13"/>
    <w:rsid w:val="006201A5"/>
    <w:rsid w:val="0062048A"/>
    <w:rsid w:val="00620B26"/>
    <w:rsid w:val="00620C47"/>
    <w:rsid w:val="00620EF6"/>
    <w:rsid w:val="006211D0"/>
    <w:rsid w:val="0062166A"/>
    <w:rsid w:val="00621D86"/>
    <w:rsid w:val="006220C5"/>
    <w:rsid w:val="006221EF"/>
    <w:rsid w:val="006228C3"/>
    <w:rsid w:val="0062352D"/>
    <w:rsid w:val="006239EA"/>
    <w:rsid w:val="00624615"/>
    <w:rsid w:val="00624969"/>
    <w:rsid w:val="00624BB2"/>
    <w:rsid w:val="00624C16"/>
    <w:rsid w:val="00625099"/>
    <w:rsid w:val="006251CB"/>
    <w:rsid w:val="00625269"/>
    <w:rsid w:val="00625C70"/>
    <w:rsid w:val="00625ED6"/>
    <w:rsid w:val="006260E2"/>
    <w:rsid w:val="0062610F"/>
    <w:rsid w:val="00626497"/>
    <w:rsid w:val="006266DC"/>
    <w:rsid w:val="0062672E"/>
    <w:rsid w:val="00626864"/>
    <w:rsid w:val="00626B11"/>
    <w:rsid w:val="00626B9D"/>
    <w:rsid w:val="00626C82"/>
    <w:rsid w:val="00626DAC"/>
    <w:rsid w:val="0062737E"/>
    <w:rsid w:val="00627460"/>
    <w:rsid w:val="00627AA4"/>
    <w:rsid w:val="00630678"/>
    <w:rsid w:val="00630748"/>
    <w:rsid w:val="00630A21"/>
    <w:rsid w:val="00631220"/>
    <w:rsid w:val="00631879"/>
    <w:rsid w:val="00632541"/>
    <w:rsid w:val="00632681"/>
    <w:rsid w:val="006328B6"/>
    <w:rsid w:val="00632F28"/>
    <w:rsid w:val="006331F7"/>
    <w:rsid w:val="00633263"/>
    <w:rsid w:val="0063338D"/>
    <w:rsid w:val="006336B7"/>
    <w:rsid w:val="00633B9A"/>
    <w:rsid w:val="0063443D"/>
    <w:rsid w:val="006348C9"/>
    <w:rsid w:val="00635691"/>
    <w:rsid w:val="00635A10"/>
    <w:rsid w:val="00635C2C"/>
    <w:rsid w:val="00636270"/>
    <w:rsid w:val="0063661B"/>
    <w:rsid w:val="00636664"/>
    <w:rsid w:val="00636E2F"/>
    <w:rsid w:val="006372D7"/>
    <w:rsid w:val="006375B4"/>
    <w:rsid w:val="00637FD3"/>
    <w:rsid w:val="00637FD6"/>
    <w:rsid w:val="00641153"/>
    <w:rsid w:val="006415E2"/>
    <w:rsid w:val="006416D0"/>
    <w:rsid w:val="00641AA7"/>
    <w:rsid w:val="00641AB3"/>
    <w:rsid w:val="00641BEA"/>
    <w:rsid w:val="00641D29"/>
    <w:rsid w:val="00642108"/>
    <w:rsid w:val="00642C4B"/>
    <w:rsid w:val="00642C9B"/>
    <w:rsid w:val="00642DB0"/>
    <w:rsid w:val="00642E1A"/>
    <w:rsid w:val="00642FA4"/>
    <w:rsid w:val="0064326B"/>
    <w:rsid w:val="0064335C"/>
    <w:rsid w:val="0064393C"/>
    <w:rsid w:val="00644032"/>
    <w:rsid w:val="0064438F"/>
    <w:rsid w:val="0064510A"/>
    <w:rsid w:val="006451E7"/>
    <w:rsid w:val="00645478"/>
    <w:rsid w:val="006456E5"/>
    <w:rsid w:val="00645946"/>
    <w:rsid w:val="0064595C"/>
    <w:rsid w:val="00645C27"/>
    <w:rsid w:val="00645E5E"/>
    <w:rsid w:val="00646160"/>
    <w:rsid w:val="0064665D"/>
    <w:rsid w:val="006473A9"/>
    <w:rsid w:val="00647902"/>
    <w:rsid w:val="00647FC3"/>
    <w:rsid w:val="0065061E"/>
    <w:rsid w:val="00651094"/>
    <w:rsid w:val="0065171F"/>
    <w:rsid w:val="00653CD3"/>
    <w:rsid w:val="00653FC0"/>
    <w:rsid w:val="00654245"/>
    <w:rsid w:val="006543C7"/>
    <w:rsid w:val="00654401"/>
    <w:rsid w:val="00654FF7"/>
    <w:rsid w:val="006554F4"/>
    <w:rsid w:val="00656149"/>
    <w:rsid w:val="00656227"/>
    <w:rsid w:val="006564A7"/>
    <w:rsid w:val="00656D0A"/>
    <w:rsid w:val="00657049"/>
    <w:rsid w:val="006571A9"/>
    <w:rsid w:val="006616E1"/>
    <w:rsid w:val="00661723"/>
    <w:rsid w:val="00661F8E"/>
    <w:rsid w:val="006621C5"/>
    <w:rsid w:val="0066316E"/>
    <w:rsid w:val="006631CA"/>
    <w:rsid w:val="00663507"/>
    <w:rsid w:val="0066356F"/>
    <w:rsid w:val="006635F4"/>
    <w:rsid w:val="00663768"/>
    <w:rsid w:val="0066380B"/>
    <w:rsid w:val="006641F4"/>
    <w:rsid w:val="0066478A"/>
    <w:rsid w:val="00664A07"/>
    <w:rsid w:val="00664AF9"/>
    <w:rsid w:val="00664C97"/>
    <w:rsid w:val="00664F1E"/>
    <w:rsid w:val="00665233"/>
    <w:rsid w:val="00665708"/>
    <w:rsid w:val="00665BE6"/>
    <w:rsid w:val="00665CA3"/>
    <w:rsid w:val="006664F6"/>
    <w:rsid w:val="006666BA"/>
    <w:rsid w:val="0066694F"/>
    <w:rsid w:val="006669FF"/>
    <w:rsid w:val="006675B4"/>
    <w:rsid w:val="00670052"/>
    <w:rsid w:val="00670160"/>
    <w:rsid w:val="00670931"/>
    <w:rsid w:val="00671122"/>
    <w:rsid w:val="00671AF5"/>
    <w:rsid w:val="00671E31"/>
    <w:rsid w:val="006723F2"/>
    <w:rsid w:val="00672AF0"/>
    <w:rsid w:val="006735F0"/>
    <w:rsid w:val="006744F9"/>
    <w:rsid w:val="00674A70"/>
    <w:rsid w:val="0067563C"/>
    <w:rsid w:val="00675DFC"/>
    <w:rsid w:val="00676B78"/>
    <w:rsid w:val="00677A3F"/>
    <w:rsid w:val="00677FD8"/>
    <w:rsid w:val="00680679"/>
    <w:rsid w:val="0068077E"/>
    <w:rsid w:val="00680804"/>
    <w:rsid w:val="00680952"/>
    <w:rsid w:val="00680BA1"/>
    <w:rsid w:val="00680D1E"/>
    <w:rsid w:val="0068179E"/>
    <w:rsid w:val="00681938"/>
    <w:rsid w:val="0068205F"/>
    <w:rsid w:val="00682413"/>
    <w:rsid w:val="00682609"/>
    <w:rsid w:val="006827DB"/>
    <w:rsid w:val="00683477"/>
    <w:rsid w:val="00683FEF"/>
    <w:rsid w:val="006842A5"/>
    <w:rsid w:val="00684970"/>
    <w:rsid w:val="00684D72"/>
    <w:rsid w:val="00685368"/>
    <w:rsid w:val="0068537A"/>
    <w:rsid w:val="006858A4"/>
    <w:rsid w:val="00685B85"/>
    <w:rsid w:val="00686293"/>
    <w:rsid w:val="0068661A"/>
    <w:rsid w:val="00687393"/>
    <w:rsid w:val="00687415"/>
    <w:rsid w:val="00687736"/>
    <w:rsid w:val="00687963"/>
    <w:rsid w:val="00687AA8"/>
    <w:rsid w:val="00687F00"/>
    <w:rsid w:val="006905F0"/>
    <w:rsid w:val="00691281"/>
    <w:rsid w:val="00691590"/>
    <w:rsid w:val="006917F0"/>
    <w:rsid w:val="00692625"/>
    <w:rsid w:val="00692831"/>
    <w:rsid w:val="00693F28"/>
    <w:rsid w:val="006940BF"/>
    <w:rsid w:val="00694CBB"/>
    <w:rsid w:val="00694E55"/>
    <w:rsid w:val="00695829"/>
    <w:rsid w:val="0069613E"/>
    <w:rsid w:val="0069689B"/>
    <w:rsid w:val="00696AF2"/>
    <w:rsid w:val="0069726C"/>
    <w:rsid w:val="006975F3"/>
    <w:rsid w:val="00697B12"/>
    <w:rsid w:val="00697B39"/>
    <w:rsid w:val="00697BB3"/>
    <w:rsid w:val="006A055D"/>
    <w:rsid w:val="006A10C6"/>
    <w:rsid w:val="006A11AA"/>
    <w:rsid w:val="006A12BB"/>
    <w:rsid w:val="006A1404"/>
    <w:rsid w:val="006A1518"/>
    <w:rsid w:val="006A1C04"/>
    <w:rsid w:val="006A20EE"/>
    <w:rsid w:val="006A2589"/>
    <w:rsid w:val="006A29FE"/>
    <w:rsid w:val="006A2E2B"/>
    <w:rsid w:val="006A438D"/>
    <w:rsid w:val="006A46B6"/>
    <w:rsid w:val="006A47A9"/>
    <w:rsid w:val="006A4FD3"/>
    <w:rsid w:val="006A5812"/>
    <w:rsid w:val="006A5A1E"/>
    <w:rsid w:val="006A6101"/>
    <w:rsid w:val="006A6159"/>
    <w:rsid w:val="006A647C"/>
    <w:rsid w:val="006A6CA7"/>
    <w:rsid w:val="006A7217"/>
    <w:rsid w:val="006A73EC"/>
    <w:rsid w:val="006A7878"/>
    <w:rsid w:val="006A78CB"/>
    <w:rsid w:val="006A7AD6"/>
    <w:rsid w:val="006A7F2B"/>
    <w:rsid w:val="006B042C"/>
    <w:rsid w:val="006B0AE3"/>
    <w:rsid w:val="006B0EFC"/>
    <w:rsid w:val="006B11FB"/>
    <w:rsid w:val="006B1F0D"/>
    <w:rsid w:val="006B2593"/>
    <w:rsid w:val="006B283A"/>
    <w:rsid w:val="006B2AFF"/>
    <w:rsid w:val="006B2F47"/>
    <w:rsid w:val="006B336F"/>
    <w:rsid w:val="006B36C9"/>
    <w:rsid w:val="006B3DDF"/>
    <w:rsid w:val="006B43CF"/>
    <w:rsid w:val="006B4418"/>
    <w:rsid w:val="006B4493"/>
    <w:rsid w:val="006B476E"/>
    <w:rsid w:val="006B4C2D"/>
    <w:rsid w:val="006B4E97"/>
    <w:rsid w:val="006B53FC"/>
    <w:rsid w:val="006B5A83"/>
    <w:rsid w:val="006B5EA0"/>
    <w:rsid w:val="006B61B4"/>
    <w:rsid w:val="006B676D"/>
    <w:rsid w:val="006B6D11"/>
    <w:rsid w:val="006B6EA7"/>
    <w:rsid w:val="006B6ECF"/>
    <w:rsid w:val="006B7268"/>
    <w:rsid w:val="006B7347"/>
    <w:rsid w:val="006B7354"/>
    <w:rsid w:val="006B74E1"/>
    <w:rsid w:val="006B79D7"/>
    <w:rsid w:val="006C09F2"/>
    <w:rsid w:val="006C11DC"/>
    <w:rsid w:val="006C1301"/>
    <w:rsid w:val="006C1570"/>
    <w:rsid w:val="006C1949"/>
    <w:rsid w:val="006C2183"/>
    <w:rsid w:val="006C231E"/>
    <w:rsid w:val="006C297A"/>
    <w:rsid w:val="006C2D29"/>
    <w:rsid w:val="006C2E81"/>
    <w:rsid w:val="006C3152"/>
    <w:rsid w:val="006C3530"/>
    <w:rsid w:val="006C3D2B"/>
    <w:rsid w:val="006C3E5D"/>
    <w:rsid w:val="006C3E6E"/>
    <w:rsid w:val="006C418D"/>
    <w:rsid w:val="006C447E"/>
    <w:rsid w:val="006C4F28"/>
    <w:rsid w:val="006C52E9"/>
    <w:rsid w:val="006C556A"/>
    <w:rsid w:val="006C63C7"/>
    <w:rsid w:val="006C64F6"/>
    <w:rsid w:val="006C6B19"/>
    <w:rsid w:val="006C6C9D"/>
    <w:rsid w:val="006C7067"/>
    <w:rsid w:val="006C75E4"/>
    <w:rsid w:val="006C7A47"/>
    <w:rsid w:val="006D0507"/>
    <w:rsid w:val="006D0BCF"/>
    <w:rsid w:val="006D1117"/>
    <w:rsid w:val="006D1119"/>
    <w:rsid w:val="006D11CF"/>
    <w:rsid w:val="006D1339"/>
    <w:rsid w:val="006D1604"/>
    <w:rsid w:val="006D1666"/>
    <w:rsid w:val="006D177B"/>
    <w:rsid w:val="006D19CA"/>
    <w:rsid w:val="006D1E88"/>
    <w:rsid w:val="006D204C"/>
    <w:rsid w:val="006D2464"/>
    <w:rsid w:val="006D25E9"/>
    <w:rsid w:val="006D26F7"/>
    <w:rsid w:val="006D2E63"/>
    <w:rsid w:val="006D33B5"/>
    <w:rsid w:val="006D33D3"/>
    <w:rsid w:val="006D35FD"/>
    <w:rsid w:val="006D3AA8"/>
    <w:rsid w:val="006D3BD7"/>
    <w:rsid w:val="006D466C"/>
    <w:rsid w:val="006D4670"/>
    <w:rsid w:val="006D46E9"/>
    <w:rsid w:val="006D4755"/>
    <w:rsid w:val="006D4F3E"/>
    <w:rsid w:val="006D58D7"/>
    <w:rsid w:val="006D5F32"/>
    <w:rsid w:val="006D66EB"/>
    <w:rsid w:val="006D7598"/>
    <w:rsid w:val="006D7B92"/>
    <w:rsid w:val="006D7CE5"/>
    <w:rsid w:val="006D7F73"/>
    <w:rsid w:val="006E0320"/>
    <w:rsid w:val="006E073D"/>
    <w:rsid w:val="006E08E1"/>
    <w:rsid w:val="006E0B1C"/>
    <w:rsid w:val="006E0C84"/>
    <w:rsid w:val="006E0F75"/>
    <w:rsid w:val="006E12EA"/>
    <w:rsid w:val="006E1511"/>
    <w:rsid w:val="006E153D"/>
    <w:rsid w:val="006E1701"/>
    <w:rsid w:val="006E1768"/>
    <w:rsid w:val="006E19D5"/>
    <w:rsid w:val="006E1C65"/>
    <w:rsid w:val="006E1D0A"/>
    <w:rsid w:val="006E1F29"/>
    <w:rsid w:val="006E2091"/>
    <w:rsid w:val="006E212F"/>
    <w:rsid w:val="006E2E14"/>
    <w:rsid w:val="006E3404"/>
    <w:rsid w:val="006E344B"/>
    <w:rsid w:val="006E4810"/>
    <w:rsid w:val="006E4872"/>
    <w:rsid w:val="006E5077"/>
    <w:rsid w:val="006E5328"/>
    <w:rsid w:val="006E5339"/>
    <w:rsid w:val="006E534A"/>
    <w:rsid w:val="006E562D"/>
    <w:rsid w:val="006E5A8B"/>
    <w:rsid w:val="006E5B9F"/>
    <w:rsid w:val="006E6377"/>
    <w:rsid w:val="006E690A"/>
    <w:rsid w:val="006E69B7"/>
    <w:rsid w:val="006E6AE7"/>
    <w:rsid w:val="006E7583"/>
    <w:rsid w:val="006E7E5E"/>
    <w:rsid w:val="006F00C8"/>
    <w:rsid w:val="006F012B"/>
    <w:rsid w:val="006F0523"/>
    <w:rsid w:val="006F09E7"/>
    <w:rsid w:val="006F0AF6"/>
    <w:rsid w:val="006F279D"/>
    <w:rsid w:val="006F319B"/>
    <w:rsid w:val="006F31C7"/>
    <w:rsid w:val="006F34EC"/>
    <w:rsid w:val="006F3B52"/>
    <w:rsid w:val="006F4199"/>
    <w:rsid w:val="006F45D3"/>
    <w:rsid w:val="006F4705"/>
    <w:rsid w:val="006F4866"/>
    <w:rsid w:val="006F4999"/>
    <w:rsid w:val="006F4D2D"/>
    <w:rsid w:val="006F55EB"/>
    <w:rsid w:val="006F567E"/>
    <w:rsid w:val="006F5768"/>
    <w:rsid w:val="006F6530"/>
    <w:rsid w:val="006F6690"/>
    <w:rsid w:val="006F698B"/>
    <w:rsid w:val="006F70A0"/>
    <w:rsid w:val="006F70A6"/>
    <w:rsid w:val="006F70B6"/>
    <w:rsid w:val="006F74AD"/>
    <w:rsid w:val="006F764B"/>
    <w:rsid w:val="00700203"/>
    <w:rsid w:val="00700700"/>
    <w:rsid w:val="0070071C"/>
    <w:rsid w:val="0070076D"/>
    <w:rsid w:val="00700F7D"/>
    <w:rsid w:val="007017DE"/>
    <w:rsid w:val="007020B5"/>
    <w:rsid w:val="007025D7"/>
    <w:rsid w:val="00702653"/>
    <w:rsid w:val="00702D26"/>
    <w:rsid w:val="00702D93"/>
    <w:rsid w:val="00702FA7"/>
    <w:rsid w:val="00702FC3"/>
    <w:rsid w:val="00703005"/>
    <w:rsid w:val="00703864"/>
    <w:rsid w:val="00703A28"/>
    <w:rsid w:val="00703C02"/>
    <w:rsid w:val="00703FE4"/>
    <w:rsid w:val="007042A1"/>
    <w:rsid w:val="007042C0"/>
    <w:rsid w:val="00704F2E"/>
    <w:rsid w:val="007057CD"/>
    <w:rsid w:val="00705984"/>
    <w:rsid w:val="00706445"/>
    <w:rsid w:val="00706729"/>
    <w:rsid w:val="00706CE5"/>
    <w:rsid w:val="00707404"/>
    <w:rsid w:val="0070754E"/>
    <w:rsid w:val="00707E0D"/>
    <w:rsid w:val="00707EEC"/>
    <w:rsid w:val="00710F8A"/>
    <w:rsid w:val="0071111C"/>
    <w:rsid w:val="007118A3"/>
    <w:rsid w:val="00712146"/>
    <w:rsid w:val="007124F7"/>
    <w:rsid w:val="0071261A"/>
    <w:rsid w:val="00712F61"/>
    <w:rsid w:val="00713341"/>
    <w:rsid w:val="00713AB6"/>
    <w:rsid w:val="00713CC6"/>
    <w:rsid w:val="00713EF6"/>
    <w:rsid w:val="007148B3"/>
    <w:rsid w:val="00714D51"/>
    <w:rsid w:val="00714EE5"/>
    <w:rsid w:val="00715542"/>
    <w:rsid w:val="00715A4B"/>
    <w:rsid w:val="00715E2A"/>
    <w:rsid w:val="00715EA2"/>
    <w:rsid w:val="00716407"/>
    <w:rsid w:val="007166A7"/>
    <w:rsid w:val="007169B3"/>
    <w:rsid w:val="00717437"/>
    <w:rsid w:val="0071767D"/>
    <w:rsid w:val="00717DA6"/>
    <w:rsid w:val="00717ED5"/>
    <w:rsid w:val="00720145"/>
    <w:rsid w:val="00720475"/>
    <w:rsid w:val="0072067E"/>
    <w:rsid w:val="007206FD"/>
    <w:rsid w:val="00721340"/>
    <w:rsid w:val="00721584"/>
    <w:rsid w:val="007215D9"/>
    <w:rsid w:val="0072165B"/>
    <w:rsid w:val="00721857"/>
    <w:rsid w:val="00721D2B"/>
    <w:rsid w:val="00721D6F"/>
    <w:rsid w:val="00721E0E"/>
    <w:rsid w:val="00722A4E"/>
    <w:rsid w:val="00722EE8"/>
    <w:rsid w:val="007238D8"/>
    <w:rsid w:val="00723EC0"/>
    <w:rsid w:val="007244D6"/>
    <w:rsid w:val="0072494D"/>
    <w:rsid w:val="0072590D"/>
    <w:rsid w:val="00725952"/>
    <w:rsid w:val="0072667F"/>
    <w:rsid w:val="00726D68"/>
    <w:rsid w:val="00726F93"/>
    <w:rsid w:val="007270B9"/>
    <w:rsid w:val="0072746F"/>
    <w:rsid w:val="00727A92"/>
    <w:rsid w:val="00727D38"/>
    <w:rsid w:val="00730141"/>
    <w:rsid w:val="0073051F"/>
    <w:rsid w:val="007308D6"/>
    <w:rsid w:val="00730D3B"/>
    <w:rsid w:val="00730D3F"/>
    <w:rsid w:val="00730F21"/>
    <w:rsid w:val="00731214"/>
    <w:rsid w:val="00731D6C"/>
    <w:rsid w:val="00731DAB"/>
    <w:rsid w:val="00731E75"/>
    <w:rsid w:val="007326C2"/>
    <w:rsid w:val="00732704"/>
    <w:rsid w:val="00732B56"/>
    <w:rsid w:val="007336A5"/>
    <w:rsid w:val="00733AA6"/>
    <w:rsid w:val="00733C08"/>
    <w:rsid w:val="00733DA4"/>
    <w:rsid w:val="00734077"/>
    <w:rsid w:val="007341C2"/>
    <w:rsid w:val="007343F9"/>
    <w:rsid w:val="00734443"/>
    <w:rsid w:val="007349C4"/>
    <w:rsid w:val="00734EE8"/>
    <w:rsid w:val="0073598D"/>
    <w:rsid w:val="007359D5"/>
    <w:rsid w:val="00735A38"/>
    <w:rsid w:val="00735C07"/>
    <w:rsid w:val="007362BC"/>
    <w:rsid w:val="007363AE"/>
    <w:rsid w:val="00736731"/>
    <w:rsid w:val="00736C66"/>
    <w:rsid w:val="00736D84"/>
    <w:rsid w:val="00737104"/>
    <w:rsid w:val="007371BD"/>
    <w:rsid w:val="0073774D"/>
    <w:rsid w:val="0073797B"/>
    <w:rsid w:val="00737A2B"/>
    <w:rsid w:val="00737AA4"/>
    <w:rsid w:val="00737F05"/>
    <w:rsid w:val="007408CC"/>
    <w:rsid w:val="00740C6E"/>
    <w:rsid w:val="00740E6B"/>
    <w:rsid w:val="00740F24"/>
    <w:rsid w:val="007410D9"/>
    <w:rsid w:val="00741206"/>
    <w:rsid w:val="007412ED"/>
    <w:rsid w:val="0074162A"/>
    <w:rsid w:val="00741D58"/>
    <w:rsid w:val="00741D99"/>
    <w:rsid w:val="0074242A"/>
    <w:rsid w:val="0074273D"/>
    <w:rsid w:val="00742771"/>
    <w:rsid w:val="0074286D"/>
    <w:rsid w:val="00742C57"/>
    <w:rsid w:val="00742C75"/>
    <w:rsid w:val="007432A6"/>
    <w:rsid w:val="00743390"/>
    <w:rsid w:val="00743533"/>
    <w:rsid w:val="007437D4"/>
    <w:rsid w:val="00743D30"/>
    <w:rsid w:val="0074406B"/>
    <w:rsid w:val="00744324"/>
    <w:rsid w:val="00744409"/>
    <w:rsid w:val="00744E6A"/>
    <w:rsid w:val="0074503D"/>
    <w:rsid w:val="007450A4"/>
    <w:rsid w:val="007452D0"/>
    <w:rsid w:val="007457CA"/>
    <w:rsid w:val="00745C05"/>
    <w:rsid w:val="00745CA2"/>
    <w:rsid w:val="00745D0D"/>
    <w:rsid w:val="007467DA"/>
    <w:rsid w:val="00746C42"/>
    <w:rsid w:val="007473E1"/>
    <w:rsid w:val="00747EAA"/>
    <w:rsid w:val="007501B0"/>
    <w:rsid w:val="00750C0F"/>
    <w:rsid w:val="00750DD4"/>
    <w:rsid w:val="00750E97"/>
    <w:rsid w:val="00751014"/>
    <w:rsid w:val="0075119F"/>
    <w:rsid w:val="00751405"/>
    <w:rsid w:val="0075160E"/>
    <w:rsid w:val="007517FD"/>
    <w:rsid w:val="007518C4"/>
    <w:rsid w:val="00751BE8"/>
    <w:rsid w:val="00751C74"/>
    <w:rsid w:val="00751CD2"/>
    <w:rsid w:val="00751EE2"/>
    <w:rsid w:val="00752CF1"/>
    <w:rsid w:val="00752D51"/>
    <w:rsid w:val="00753559"/>
    <w:rsid w:val="007536FE"/>
    <w:rsid w:val="007539F3"/>
    <w:rsid w:val="00753DC6"/>
    <w:rsid w:val="00754258"/>
    <w:rsid w:val="0075446D"/>
    <w:rsid w:val="0075453C"/>
    <w:rsid w:val="0075500B"/>
    <w:rsid w:val="00755237"/>
    <w:rsid w:val="00755BDC"/>
    <w:rsid w:val="00755C3F"/>
    <w:rsid w:val="00755FF1"/>
    <w:rsid w:val="007562A9"/>
    <w:rsid w:val="00756446"/>
    <w:rsid w:val="00756450"/>
    <w:rsid w:val="007564B6"/>
    <w:rsid w:val="007565EE"/>
    <w:rsid w:val="00756683"/>
    <w:rsid w:val="007566FC"/>
    <w:rsid w:val="00756B7C"/>
    <w:rsid w:val="007601E2"/>
    <w:rsid w:val="007603FB"/>
    <w:rsid w:val="00760565"/>
    <w:rsid w:val="0076066D"/>
    <w:rsid w:val="00760677"/>
    <w:rsid w:val="00760A6E"/>
    <w:rsid w:val="00760CF9"/>
    <w:rsid w:val="00760FCB"/>
    <w:rsid w:val="0076237D"/>
    <w:rsid w:val="00762596"/>
    <w:rsid w:val="00762883"/>
    <w:rsid w:val="00762CFF"/>
    <w:rsid w:val="007636D0"/>
    <w:rsid w:val="0076382C"/>
    <w:rsid w:val="00763973"/>
    <w:rsid w:val="00763D2A"/>
    <w:rsid w:val="00764AAB"/>
    <w:rsid w:val="00764C9D"/>
    <w:rsid w:val="00764D77"/>
    <w:rsid w:val="00765AB5"/>
    <w:rsid w:val="00765F8F"/>
    <w:rsid w:val="007661FE"/>
    <w:rsid w:val="0076651E"/>
    <w:rsid w:val="00767D57"/>
    <w:rsid w:val="00770121"/>
    <w:rsid w:val="00770428"/>
    <w:rsid w:val="0077071B"/>
    <w:rsid w:val="00770C16"/>
    <w:rsid w:val="007713B1"/>
    <w:rsid w:val="00771958"/>
    <w:rsid w:val="007720A4"/>
    <w:rsid w:val="00772C80"/>
    <w:rsid w:val="00772DEC"/>
    <w:rsid w:val="00773A20"/>
    <w:rsid w:val="00773FF6"/>
    <w:rsid w:val="007744FE"/>
    <w:rsid w:val="007746D0"/>
    <w:rsid w:val="007749D5"/>
    <w:rsid w:val="00775A01"/>
    <w:rsid w:val="00775E91"/>
    <w:rsid w:val="00776FD2"/>
    <w:rsid w:val="00777074"/>
    <w:rsid w:val="0077715C"/>
    <w:rsid w:val="0077733B"/>
    <w:rsid w:val="0077749C"/>
    <w:rsid w:val="00777ABA"/>
    <w:rsid w:val="00780185"/>
    <w:rsid w:val="007802FA"/>
    <w:rsid w:val="00780384"/>
    <w:rsid w:val="007806D1"/>
    <w:rsid w:val="00780A49"/>
    <w:rsid w:val="00780C4D"/>
    <w:rsid w:val="00780D5C"/>
    <w:rsid w:val="00781061"/>
    <w:rsid w:val="007816B3"/>
    <w:rsid w:val="0078188D"/>
    <w:rsid w:val="00781D8F"/>
    <w:rsid w:val="00781F22"/>
    <w:rsid w:val="00782029"/>
    <w:rsid w:val="00782586"/>
    <w:rsid w:val="00782706"/>
    <w:rsid w:val="00782CAB"/>
    <w:rsid w:val="00782E7B"/>
    <w:rsid w:val="00783086"/>
    <w:rsid w:val="00783197"/>
    <w:rsid w:val="00783942"/>
    <w:rsid w:val="00783A81"/>
    <w:rsid w:val="00783AE8"/>
    <w:rsid w:val="00783B6D"/>
    <w:rsid w:val="00783E43"/>
    <w:rsid w:val="007840BE"/>
    <w:rsid w:val="00784453"/>
    <w:rsid w:val="00784CD7"/>
    <w:rsid w:val="00784D31"/>
    <w:rsid w:val="00784E04"/>
    <w:rsid w:val="0078509E"/>
    <w:rsid w:val="00785383"/>
    <w:rsid w:val="00785533"/>
    <w:rsid w:val="007855F6"/>
    <w:rsid w:val="00785AFD"/>
    <w:rsid w:val="00785B82"/>
    <w:rsid w:val="00786125"/>
    <w:rsid w:val="00786360"/>
    <w:rsid w:val="0078678D"/>
    <w:rsid w:val="00786BED"/>
    <w:rsid w:val="00786CED"/>
    <w:rsid w:val="00786CF6"/>
    <w:rsid w:val="00786EE1"/>
    <w:rsid w:val="00787009"/>
    <w:rsid w:val="007872B4"/>
    <w:rsid w:val="00787EA7"/>
    <w:rsid w:val="0079056A"/>
    <w:rsid w:val="0079099E"/>
    <w:rsid w:val="00790C2F"/>
    <w:rsid w:val="0079135E"/>
    <w:rsid w:val="00791520"/>
    <w:rsid w:val="007917CD"/>
    <w:rsid w:val="00791A16"/>
    <w:rsid w:val="00791E6E"/>
    <w:rsid w:val="00792365"/>
    <w:rsid w:val="00792EEB"/>
    <w:rsid w:val="00793109"/>
    <w:rsid w:val="0079311D"/>
    <w:rsid w:val="00793562"/>
    <w:rsid w:val="00793AAB"/>
    <w:rsid w:val="00793BBD"/>
    <w:rsid w:val="0079422B"/>
    <w:rsid w:val="007947F9"/>
    <w:rsid w:val="007950C1"/>
    <w:rsid w:val="00795A2C"/>
    <w:rsid w:val="00795CA6"/>
    <w:rsid w:val="00796189"/>
    <w:rsid w:val="007962B7"/>
    <w:rsid w:val="007963AB"/>
    <w:rsid w:val="007965CF"/>
    <w:rsid w:val="00796657"/>
    <w:rsid w:val="007968E7"/>
    <w:rsid w:val="00796D8D"/>
    <w:rsid w:val="00796DA1"/>
    <w:rsid w:val="00796E08"/>
    <w:rsid w:val="007973E0"/>
    <w:rsid w:val="007979C1"/>
    <w:rsid w:val="00797A31"/>
    <w:rsid w:val="007A001A"/>
    <w:rsid w:val="007A01FD"/>
    <w:rsid w:val="007A0AC3"/>
    <w:rsid w:val="007A1242"/>
    <w:rsid w:val="007A1C47"/>
    <w:rsid w:val="007A1F24"/>
    <w:rsid w:val="007A2095"/>
    <w:rsid w:val="007A2616"/>
    <w:rsid w:val="007A2783"/>
    <w:rsid w:val="007A3855"/>
    <w:rsid w:val="007A3B91"/>
    <w:rsid w:val="007A3BA2"/>
    <w:rsid w:val="007A4085"/>
    <w:rsid w:val="007A472F"/>
    <w:rsid w:val="007A5163"/>
    <w:rsid w:val="007A580D"/>
    <w:rsid w:val="007A5DE5"/>
    <w:rsid w:val="007A6CF8"/>
    <w:rsid w:val="007A6FB6"/>
    <w:rsid w:val="007A7004"/>
    <w:rsid w:val="007A70CC"/>
    <w:rsid w:val="007A7630"/>
    <w:rsid w:val="007A7A47"/>
    <w:rsid w:val="007B0020"/>
    <w:rsid w:val="007B046B"/>
    <w:rsid w:val="007B067D"/>
    <w:rsid w:val="007B0EB4"/>
    <w:rsid w:val="007B1548"/>
    <w:rsid w:val="007B1BD2"/>
    <w:rsid w:val="007B1E07"/>
    <w:rsid w:val="007B2AE4"/>
    <w:rsid w:val="007B30FC"/>
    <w:rsid w:val="007B312C"/>
    <w:rsid w:val="007B471E"/>
    <w:rsid w:val="007B4BCD"/>
    <w:rsid w:val="007B4D7F"/>
    <w:rsid w:val="007B4F38"/>
    <w:rsid w:val="007B51FE"/>
    <w:rsid w:val="007B5C11"/>
    <w:rsid w:val="007B6263"/>
    <w:rsid w:val="007B65A3"/>
    <w:rsid w:val="007B6A5C"/>
    <w:rsid w:val="007B77A9"/>
    <w:rsid w:val="007B7987"/>
    <w:rsid w:val="007B79F9"/>
    <w:rsid w:val="007B7BE3"/>
    <w:rsid w:val="007C010B"/>
    <w:rsid w:val="007C013A"/>
    <w:rsid w:val="007C0544"/>
    <w:rsid w:val="007C0A01"/>
    <w:rsid w:val="007C0B9F"/>
    <w:rsid w:val="007C11D4"/>
    <w:rsid w:val="007C1970"/>
    <w:rsid w:val="007C2045"/>
    <w:rsid w:val="007C22B5"/>
    <w:rsid w:val="007C2DE6"/>
    <w:rsid w:val="007C30D2"/>
    <w:rsid w:val="007C3391"/>
    <w:rsid w:val="007C3635"/>
    <w:rsid w:val="007C3B04"/>
    <w:rsid w:val="007C3DBD"/>
    <w:rsid w:val="007C4047"/>
    <w:rsid w:val="007C4345"/>
    <w:rsid w:val="007C43AF"/>
    <w:rsid w:val="007C4786"/>
    <w:rsid w:val="007C4797"/>
    <w:rsid w:val="007C4AFB"/>
    <w:rsid w:val="007C4EA0"/>
    <w:rsid w:val="007C5039"/>
    <w:rsid w:val="007C5E90"/>
    <w:rsid w:val="007C690E"/>
    <w:rsid w:val="007C6967"/>
    <w:rsid w:val="007C6F5B"/>
    <w:rsid w:val="007C6FB1"/>
    <w:rsid w:val="007C762D"/>
    <w:rsid w:val="007C7996"/>
    <w:rsid w:val="007C7A4D"/>
    <w:rsid w:val="007C7D41"/>
    <w:rsid w:val="007D017E"/>
    <w:rsid w:val="007D07CF"/>
    <w:rsid w:val="007D08F0"/>
    <w:rsid w:val="007D11B8"/>
    <w:rsid w:val="007D1D5F"/>
    <w:rsid w:val="007D2102"/>
    <w:rsid w:val="007D2653"/>
    <w:rsid w:val="007D27E4"/>
    <w:rsid w:val="007D2911"/>
    <w:rsid w:val="007D31CD"/>
    <w:rsid w:val="007D342E"/>
    <w:rsid w:val="007D3472"/>
    <w:rsid w:val="007D3685"/>
    <w:rsid w:val="007D3BCC"/>
    <w:rsid w:val="007D3D82"/>
    <w:rsid w:val="007D3E77"/>
    <w:rsid w:val="007D44F1"/>
    <w:rsid w:val="007D4563"/>
    <w:rsid w:val="007D4F77"/>
    <w:rsid w:val="007D536D"/>
    <w:rsid w:val="007D5828"/>
    <w:rsid w:val="007D63FB"/>
    <w:rsid w:val="007D6716"/>
    <w:rsid w:val="007D6A6F"/>
    <w:rsid w:val="007D6F13"/>
    <w:rsid w:val="007D732E"/>
    <w:rsid w:val="007D782B"/>
    <w:rsid w:val="007D799D"/>
    <w:rsid w:val="007E025A"/>
    <w:rsid w:val="007E0634"/>
    <w:rsid w:val="007E07E5"/>
    <w:rsid w:val="007E0B1C"/>
    <w:rsid w:val="007E156C"/>
    <w:rsid w:val="007E1D9F"/>
    <w:rsid w:val="007E1F9C"/>
    <w:rsid w:val="007E253A"/>
    <w:rsid w:val="007E2579"/>
    <w:rsid w:val="007E26B0"/>
    <w:rsid w:val="007E2B76"/>
    <w:rsid w:val="007E2BF6"/>
    <w:rsid w:val="007E2F26"/>
    <w:rsid w:val="007E3416"/>
    <w:rsid w:val="007E3432"/>
    <w:rsid w:val="007E39A6"/>
    <w:rsid w:val="007E3C7D"/>
    <w:rsid w:val="007E4598"/>
    <w:rsid w:val="007E4C05"/>
    <w:rsid w:val="007E528F"/>
    <w:rsid w:val="007E5495"/>
    <w:rsid w:val="007E57BE"/>
    <w:rsid w:val="007E5C08"/>
    <w:rsid w:val="007E5C20"/>
    <w:rsid w:val="007E5CC5"/>
    <w:rsid w:val="007E641B"/>
    <w:rsid w:val="007E6AAE"/>
    <w:rsid w:val="007E7F92"/>
    <w:rsid w:val="007F01A3"/>
    <w:rsid w:val="007F05E8"/>
    <w:rsid w:val="007F0B94"/>
    <w:rsid w:val="007F0C83"/>
    <w:rsid w:val="007F1093"/>
    <w:rsid w:val="007F1126"/>
    <w:rsid w:val="007F2247"/>
    <w:rsid w:val="007F268F"/>
    <w:rsid w:val="007F2733"/>
    <w:rsid w:val="007F2C55"/>
    <w:rsid w:val="007F3108"/>
    <w:rsid w:val="007F3187"/>
    <w:rsid w:val="007F31D1"/>
    <w:rsid w:val="007F3905"/>
    <w:rsid w:val="007F3A6C"/>
    <w:rsid w:val="007F3E1E"/>
    <w:rsid w:val="007F419C"/>
    <w:rsid w:val="007F480E"/>
    <w:rsid w:val="007F4BF7"/>
    <w:rsid w:val="007F4C8B"/>
    <w:rsid w:val="007F507B"/>
    <w:rsid w:val="007F5248"/>
    <w:rsid w:val="007F5A5F"/>
    <w:rsid w:val="007F5D51"/>
    <w:rsid w:val="007F5D65"/>
    <w:rsid w:val="007F60F3"/>
    <w:rsid w:val="007F6154"/>
    <w:rsid w:val="007F6EBA"/>
    <w:rsid w:val="007F7057"/>
    <w:rsid w:val="007F70E0"/>
    <w:rsid w:val="007F71DF"/>
    <w:rsid w:val="007F7573"/>
    <w:rsid w:val="007F763E"/>
    <w:rsid w:val="007F7802"/>
    <w:rsid w:val="007F7AE9"/>
    <w:rsid w:val="00800B8D"/>
    <w:rsid w:val="00800D3F"/>
    <w:rsid w:val="008010CE"/>
    <w:rsid w:val="008012AF"/>
    <w:rsid w:val="008013B2"/>
    <w:rsid w:val="00801420"/>
    <w:rsid w:val="008014E4"/>
    <w:rsid w:val="00801544"/>
    <w:rsid w:val="008019EF"/>
    <w:rsid w:val="00801CE1"/>
    <w:rsid w:val="008021F1"/>
    <w:rsid w:val="008023A0"/>
    <w:rsid w:val="00802401"/>
    <w:rsid w:val="00802451"/>
    <w:rsid w:val="00802DF3"/>
    <w:rsid w:val="008030D5"/>
    <w:rsid w:val="008031AF"/>
    <w:rsid w:val="008045FC"/>
    <w:rsid w:val="00804F3D"/>
    <w:rsid w:val="00805042"/>
    <w:rsid w:val="0080543E"/>
    <w:rsid w:val="0080595E"/>
    <w:rsid w:val="0080596A"/>
    <w:rsid w:val="00805CB5"/>
    <w:rsid w:val="008062A9"/>
    <w:rsid w:val="00806379"/>
    <w:rsid w:val="0080640D"/>
    <w:rsid w:val="00806455"/>
    <w:rsid w:val="008064DF"/>
    <w:rsid w:val="00806652"/>
    <w:rsid w:val="008075FB"/>
    <w:rsid w:val="00807F52"/>
    <w:rsid w:val="00810896"/>
    <w:rsid w:val="00810CFD"/>
    <w:rsid w:val="00810F6D"/>
    <w:rsid w:val="00811317"/>
    <w:rsid w:val="008113AC"/>
    <w:rsid w:val="008115F2"/>
    <w:rsid w:val="00811AF8"/>
    <w:rsid w:val="008122F6"/>
    <w:rsid w:val="00812A76"/>
    <w:rsid w:val="008134EA"/>
    <w:rsid w:val="00813567"/>
    <w:rsid w:val="0081376A"/>
    <w:rsid w:val="00813908"/>
    <w:rsid w:val="00813D1D"/>
    <w:rsid w:val="00814222"/>
    <w:rsid w:val="008142F9"/>
    <w:rsid w:val="0081499F"/>
    <w:rsid w:val="00814C2E"/>
    <w:rsid w:val="00814D23"/>
    <w:rsid w:val="00814DC3"/>
    <w:rsid w:val="00815031"/>
    <w:rsid w:val="00815431"/>
    <w:rsid w:val="00815A52"/>
    <w:rsid w:val="00816162"/>
    <w:rsid w:val="008165E0"/>
    <w:rsid w:val="00816B5B"/>
    <w:rsid w:val="00817CAF"/>
    <w:rsid w:val="00817D1B"/>
    <w:rsid w:val="00817DCA"/>
    <w:rsid w:val="00817F2A"/>
    <w:rsid w:val="0082060C"/>
    <w:rsid w:val="0082133C"/>
    <w:rsid w:val="0082166A"/>
    <w:rsid w:val="00821DDD"/>
    <w:rsid w:val="00821FDE"/>
    <w:rsid w:val="00822448"/>
    <w:rsid w:val="00822516"/>
    <w:rsid w:val="00822C21"/>
    <w:rsid w:val="00822F0F"/>
    <w:rsid w:val="00822F6E"/>
    <w:rsid w:val="00823359"/>
    <w:rsid w:val="00823573"/>
    <w:rsid w:val="00824583"/>
    <w:rsid w:val="008248C8"/>
    <w:rsid w:val="00825093"/>
    <w:rsid w:val="00825123"/>
    <w:rsid w:val="00825628"/>
    <w:rsid w:val="008258B3"/>
    <w:rsid w:val="00825CAD"/>
    <w:rsid w:val="008269E7"/>
    <w:rsid w:val="00826A69"/>
    <w:rsid w:val="00827257"/>
    <w:rsid w:val="0082778E"/>
    <w:rsid w:val="00827B47"/>
    <w:rsid w:val="00827C44"/>
    <w:rsid w:val="00830181"/>
    <w:rsid w:val="008306CD"/>
    <w:rsid w:val="00830BDC"/>
    <w:rsid w:val="00830E38"/>
    <w:rsid w:val="008315D9"/>
    <w:rsid w:val="008317AC"/>
    <w:rsid w:val="008317C1"/>
    <w:rsid w:val="008319DA"/>
    <w:rsid w:val="00831D28"/>
    <w:rsid w:val="00831EE3"/>
    <w:rsid w:val="00831F7F"/>
    <w:rsid w:val="008322ED"/>
    <w:rsid w:val="00832C31"/>
    <w:rsid w:val="0083340D"/>
    <w:rsid w:val="00833708"/>
    <w:rsid w:val="008338FF"/>
    <w:rsid w:val="00833E83"/>
    <w:rsid w:val="00834265"/>
    <w:rsid w:val="008342E2"/>
    <w:rsid w:val="0083433F"/>
    <w:rsid w:val="00834B5D"/>
    <w:rsid w:val="0083541B"/>
    <w:rsid w:val="00836E0E"/>
    <w:rsid w:val="00836EB5"/>
    <w:rsid w:val="00836EF3"/>
    <w:rsid w:val="0084002A"/>
    <w:rsid w:val="0084010E"/>
    <w:rsid w:val="0084012B"/>
    <w:rsid w:val="008405D0"/>
    <w:rsid w:val="00840695"/>
    <w:rsid w:val="00840E4A"/>
    <w:rsid w:val="0084102D"/>
    <w:rsid w:val="00841187"/>
    <w:rsid w:val="00841C43"/>
    <w:rsid w:val="00841F38"/>
    <w:rsid w:val="00842C43"/>
    <w:rsid w:val="008439D3"/>
    <w:rsid w:val="00844543"/>
    <w:rsid w:val="0084462C"/>
    <w:rsid w:val="00844909"/>
    <w:rsid w:val="0084492E"/>
    <w:rsid w:val="0084556C"/>
    <w:rsid w:val="008457CF"/>
    <w:rsid w:val="00846202"/>
    <w:rsid w:val="00846443"/>
    <w:rsid w:val="008467C7"/>
    <w:rsid w:val="00846B22"/>
    <w:rsid w:val="00847019"/>
    <w:rsid w:val="00847743"/>
    <w:rsid w:val="00847A6B"/>
    <w:rsid w:val="008500AC"/>
    <w:rsid w:val="008504CC"/>
    <w:rsid w:val="00850931"/>
    <w:rsid w:val="008509C7"/>
    <w:rsid w:val="00850A55"/>
    <w:rsid w:val="00850DBD"/>
    <w:rsid w:val="0085181A"/>
    <w:rsid w:val="00851991"/>
    <w:rsid w:val="0085240E"/>
    <w:rsid w:val="00852537"/>
    <w:rsid w:val="00852A9D"/>
    <w:rsid w:val="00852B14"/>
    <w:rsid w:val="00853107"/>
    <w:rsid w:val="00853434"/>
    <w:rsid w:val="00853811"/>
    <w:rsid w:val="008539FC"/>
    <w:rsid w:val="00853C5F"/>
    <w:rsid w:val="00853DB9"/>
    <w:rsid w:val="008540C6"/>
    <w:rsid w:val="00854268"/>
    <w:rsid w:val="0085428C"/>
    <w:rsid w:val="008544A9"/>
    <w:rsid w:val="00854880"/>
    <w:rsid w:val="00854C9B"/>
    <w:rsid w:val="00854EB3"/>
    <w:rsid w:val="00855618"/>
    <w:rsid w:val="00855BC1"/>
    <w:rsid w:val="00855BF4"/>
    <w:rsid w:val="00855CFB"/>
    <w:rsid w:val="0085664C"/>
    <w:rsid w:val="00856668"/>
    <w:rsid w:val="00856C74"/>
    <w:rsid w:val="00857969"/>
    <w:rsid w:val="00857D26"/>
    <w:rsid w:val="00857F72"/>
    <w:rsid w:val="0086076F"/>
    <w:rsid w:val="0086079D"/>
    <w:rsid w:val="008611AF"/>
    <w:rsid w:val="00861F25"/>
    <w:rsid w:val="0086209A"/>
    <w:rsid w:val="00862E94"/>
    <w:rsid w:val="00863078"/>
    <w:rsid w:val="008639F7"/>
    <w:rsid w:val="00863A63"/>
    <w:rsid w:val="00863C48"/>
    <w:rsid w:val="00864124"/>
    <w:rsid w:val="00864406"/>
    <w:rsid w:val="008647B1"/>
    <w:rsid w:val="00864994"/>
    <w:rsid w:val="00864D9B"/>
    <w:rsid w:val="008650CE"/>
    <w:rsid w:val="00865BAD"/>
    <w:rsid w:val="008662D0"/>
    <w:rsid w:val="008666DA"/>
    <w:rsid w:val="00866A71"/>
    <w:rsid w:val="00866B60"/>
    <w:rsid w:val="00866BDC"/>
    <w:rsid w:val="008677F7"/>
    <w:rsid w:val="00867F70"/>
    <w:rsid w:val="00870B41"/>
    <w:rsid w:val="00870D6F"/>
    <w:rsid w:val="00870E31"/>
    <w:rsid w:val="00870F75"/>
    <w:rsid w:val="008712E0"/>
    <w:rsid w:val="0087145E"/>
    <w:rsid w:val="00871760"/>
    <w:rsid w:val="0087193F"/>
    <w:rsid w:val="00871BE4"/>
    <w:rsid w:val="00871BF4"/>
    <w:rsid w:val="008726E4"/>
    <w:rsid w:val="00872ECE"/>
    <w:rsid w:val="008734E9"/>
    <w:rsid w:val="00873A6D"/>
    <w:rsid w:val="00873BD3"/>
    <w:rsid w:val="00874F0A"/>
    <w:rsid w:val="008750C1"/>
    <w:rsid w:val="0087559C"/>
    <w:rsid w:val="008756F9"/>
    <w:rsid w:val="00875701"/>
    <w:rsid w:val="0087574C"/>
    <w:rsid w:val="00876163"/>
    <w:rsid w:val="00876640"/>
    <w:rsid w:val="008766C3"/>
    <w:rsid w:val="008767D2"/>
    <w:rsid w:val="0087688F"/>
    <w:rsid w:val="00877302"/>
    <w:rsid w:val="00877343"/>
    <w:rsid w:val="00877B65"/>
    <w:rsid w:val="00877C50"/>
    <w:rsid w:val="00877F33"/>
    <w:rsid w:val="00877FDB"/>
    <w:rsid w:val="008801E1"/>
    <w:rsid w:val="008806DA"/>
    <w:rsid w:val="00880798"/>
    <w:rsid w:val="008810D4"/>
    <w:rsid w:val="0088119B"/>
    <w:rsid w:val="00881305"/>
    <w:rsid w:val="008815FF"/>
    <w:rsid w:val="00881A44"/>
    <w:rsid w:val="00881E3A"/>
    <w:rsid w:val="00882716"/>
    <w:rsid w:val="00882A88"/>
    <w:rsid w:val="00882E0F"/>
    <w:rsid w:val="0088392F"/>
    <w:rsid w:val="00883A22"/>
    <w:rsid w:val="00883C2D"/>
    <w:rsid w:val="00883FC9"/>
    <w:rsid w:val="00884B1F"/>
    <w:rsid w:val="00884D68"/>
    <w:rsid w:val="00884F38"/>
    <w:rsid w:val="00884F68"/>
    <w:rsid w:val="00884FE8"/>
    <w:rsid w:val="00885833"/>
    <w:rsid w:val="00885DAE"/>
    <w:rsid w:val="00886AFF"/>
    <w:rsid w:val="00887819"/>
    <w:rsid w:val="0088786D"/>
    <w:rsid w:val="00887C18"/>
    <w:rsid w:val="00887D80"/>
    <w:rsid w:val="00887F0C"/>
    <w:rsid w:val="00890109"/>
    <w:rsid w:val="00890848"/>
    <w:rsid w:val="00890E91"/>
    <w:rsid w:val="00890F08"/>
    <w:rsid w:val="00891EE7"/>
    <w:rsid w:val="00892458"/>
    <w:rsid w:val="0089265D"/>
    <w:rsid w:val="00892668"/>
    <w:rsid w:val="0089285F"/>
    <w:rsid w:val="00892A8D"/>
    <w:rsid w:val="0089322A"/>
    <w:rsid w:val="0089354A"/>
    <w:rsid w:val="008939A6"/>
    <w:rsid w:val="00893A0A"/>
    <w:rsid w:val="00893C75"/>
    <w:rsid w:val="00893F8B"/>
    <w:rsid w:val="008941F1"/>
    <w:rsid w:val="008946CC"/>
    <w:rsid w:val="00894708"/>
    <w:rsid w:val="00894768"/>
    <w:rsid w:val="008947D2"/>
    <w:rsid w:val="008948B6"/>
    <w:rsid w:val="00894BB6"/>
    <w:rsid w:val="00894C5E"/>
    <w:rsid w:val="00894C63"/>
    <w:rsid w:val="00895018"/>
    <w:rsid w:val="008951D1"/>
    <w:rsid w:val="0089524E"/>
    <w:rsid w:val="00895932"/>
    <w:rsid w:val="00895A1D"/>
    <w:rsid w:val="00895C1F"/>
    <w:rsid w:val="00895E05"/>
    <w:rsid w:val="008960F3"/>
    <w:rsid w:val="0089638B"/>
    <w:rsid w:val="00896487"/>
    <w:rsid w:val="008967A4"/>
    <w:rsid w:val="00896D70"/>
    <w:rsid w:val="00896FBA"/>
    <w:rsid w:val="00897777"/>
    <w:rsid w:val="008977F5"/>
    <w:rsid w:val="00897CD8"/>
    <w:rsid w:val="008A00CF"/>
    <w:rsid w:val="008A0246"/>
    <w:rsid w:val="008A0405"/>
    <w:rsid w:val="008A0C8C"/>
    <w:rsid w:val="008A0E59"/>
    <w:rsid w:val="008A119E"/>
    <w:rsid w:val="008A1C04"/>
    <w:rsid w:val="008A1C82"/>
    <w:rsid w:val="008A1CB0"/>
    <w:rsid w:val="008A2165"/>
    <w:rsid w:val="008A2688"/>
    <w:rsid w:val="008A26BE"/>
    <w:rsid w:val="008A284C"/>
    <w:rsid w:val="008A2F45"/>
    <w:rsid w:val="008A38FE"/>
    <w:rsid w:val="008A39A1"/>
    <w:rsid w:val="008A3C7F"/>
    <w:rsid w:val="008A3CBF"/>
    <w:rsid w:val="008A42A9"/>
    <w:rsid w:val="008A4C65"/>
    <w:rsid w:val="008A54C2"/>
    <w:rsid w:val="008A6507"/>
    <w:rsid w:val="008A66B2"/>
    <w:rsid w:val="008A7204"/>
    <w:rsid w:val="008A7652"/>
    <w:rsid w:val="008A7B47"/>
    <w:rsid w:val="008B00A7"/>
    <w:rsid w:val="008B01D9"/>
    <w:rsid w:val="008B0877"/>
    <w:rsid w:val="008B0A76"/>
    <w:rsid w:val="008B1040"/>
    <w:rsid w:val="008B1B19"/>
    <w:rsid w:val="008B1C21"/>
    <w:rsid w:val="008B20D7"/>
    <w:rsid w:val="008B2375"/>
    <w:rsid w:val="008B2735"/>
    <w:rsid w:val="008B287B"/>
    <w:rsid w:val="008B28DB"/>
    <w:rsid w:val="008B2BD4"/>
    <w:rsid w:val="008B2DFE"/>
    <w:rsid w:val="008B2F65"/>
    <w:rsid w:val="008B3058"/>
    <w:rsid w:val="008B30BA"/>
    <w:rsid w:val="008B40D0"/>
    <w:rsid w:val="008B4321"/>
    <w:rsid w:val="008B46A8"/>
    <w:rsid w:val="008B49C5"/>
    <w:rsid w:val="008B4A6B"/>
    <w:rsid w:val="008B4B8D"/>
    <w:rsid w:val="008B4D10"/>
    <w:rsid w:val="008B5669"/>
    <w:rsid w:val="008B5B95"/>
    <w:rsid w:val="008B5BE2"/>
    <w:rsid w:val="008B5DE3"/>
    <w:rsid w:val="008B6337"/>
    <w:rsid w:val="008B636F"/>
    <w:rsid w:val="008B6701"/>
    <w:rsid w:val="008B6F93"/>
    <w:rsid w:val="008B736E"/>
    <w:rsid w:val="008B753C"/>
    <w:rsid w:val="008B7973"/>
    <w:rsid w:val="008B7AB5"/>
    <w:rsid w:val="008C032F"/>
    <w:rsid w:val="008C0730"/>
    <w:rsid w:val="008C0A17"/>
    <w:rsid w:val="008C1003"/>
    <w:rsid w:val="008C1640"/>
    <w:rsid w:val="008C1BAD"/>
    <w:rsid w:val="008C20BE"/>
    <w:rsid w:val="008C3A38"/>
    <w:rsid w:val="008C3B63"/>
    <w:rsid w:val="008C3E47"/>
    <w:rsid w:val="008C4197"/>
    <w:rsid w:val="008C49E1"/>
    <w:rsid w:val="008C4A78"/>
    <w:rsid w:val="008C4B43"/>
    <w:rsid w:val="008C51C7"/>
    <w:rsid w:val="008C5D12"/>
    <w:rsid w:val="008C5DE8"/>
    <w:rsid w:val="008C60EC"/>
    <w:rsid w:val="008C6404"/>
    <w:rsid w:val="008C6B95"/>
    <w:rsid w:val="008C6E83"/>
    <w:rsid w:val="008C75EC"/>
    <w:rsid w:val="008C788C"/>
    <w:rsid w:val="008C7A45"/>
    <w:rsid w:val="008C7D52"/>
    <w:rsid w:val="008D117C"/>
    <w:rsid w:val="008D13FD"/>
    <w:rsid w:val="008D150A"/>
    <w:rsid w:val="008D180D"/>
    <w:rsid w:val="008D201C"/>
    <w:rsid w:val="008D2093"/>
    <w:rsid w:val="008D286E"/>
    <w:rsid w:val="008D3B70"/>
    <w:rsid w:val="008D3D87"/>
    <w:rsid w:val="008D3EFD"/>
    <w:rsid w:val="008D4A18"/>
    <w:rsid w:val="008D4C80"/>
    <w:rsid w:val="008D5770"/>
    <w:rsid w:val="008D57F0"/>
    <w:rsid w:val="008D5F20"/>
    <w:rsid w:val="008D6088"/>
    <w:rsid w:val="008D60B1"/>
    <w:rsid w:val="008D63E7"/>
    <w:rsid w:val="008D68E9"/>
    <w:rsid w:val="008D6ACA"/>
    <w:rsid w:val="008D71ED"/>
    <w:rsid w:val="008D7A86"/>
    <w:rsid w:val="008D7AF8"/>
    <w:rsid w:val="008E0353"/>
    <w:rsid w:val="008E042A"/>
    <w:rsid w:val="008E077A"/>
    <w:rsid w:val="008E0B77"/>
    <w:rsid w:val="008E0E70"/>
    <w:rsid w:val="008E15B0"/>
    <w:rsid w:val="008E1723"/>
    <w:rsid w:val="008E1929"/>
    <w:rsid w:val="008E1B55"/>
    <w:rsid w:val="008E1CE6"/>
    <w:rsid w:val="008E3195"/>
    <w:rsid w:val="008E3675"/>
    <w:rsid w:val="008E36D5"/>
    <w:rsid w:val="008E3C3C"/>
    <w:rsid w:val="008E3FF5"/>
    <w:rsid w:val="008E466D"/>
    <w:rsid w:val="008E4A93"/>
    <w:rsid w:val="008E4DB1"/>
    <w:rsid w:val="008E51E6"/>
    <w:rsid w:val="008E61E3"/>
    <w:rsid w:val="008E7406"/>
    <w:rsid w:val="008F017A"/>
    <w:rsid w:val="008F0765"/>
    <w:rsid w:val="008F0DAD"/>
    <w:rsid w:val="008F13DB"/>
    <w:rsid w:val="008F1440"/>
    <w:rsid w:val="008F17DD"/>
    <w:rsid w:val="008F19A1"/>
    <w:rsid w:val="008F1A1E"/>
    <w:rsid w:val="008F1A84"/>
    <w:rsid w:val="008F239A"/>
    <w:rsid w:val="008F2470"/>
    <w:rsid w:val="008F247B"/>
    <w:rsid w:val="008F2BF3"/>
    <w:rsid w:val="008F2D21"/>
    <w:rsid w:val="008F2FAE"/>
    <w:rsid w:val="008F3120"/>
    <w:rsid w:val="008F3671"/>
    <w:rsid w:val="008F39E3"/>
    <w:rsid w:val="008F4120"/>
    <w:rsid w:val="008F4169"/>
    <w:rsid w:val="008F4222"/>
    <w:rsid w:val="008F455B"/>
    <w:rsid w:val="008F467D"/>
    <w:rsid w:val="008F4D60"/>
    <w:rsid w:val="008F5345"/>
    <w:rsid w:val="008F5542"/>
    <w:rsid w:val="008F5841"/>
    <w:rsid w:val="008F5D69"/>
    <w:rsid w:val="008F62AB"/>
    <w:rsid w:val="008F6A18"/>
    <w:rsid w:val="008F6A44"/>
    <w:rsid w:val="008F705F"/>
    <w:rsid w:val="008F70A3"/>
    <w:rsid w:val="008F7484"/>
    <w:rsid w:val="008F757C"/>
    <w:rsid w:val="008F79A8"/>
    <w:rsid w:val="008F7CBA"/>
    <w:rsid w:val="008F7F34"/>
    <w:rsid w:val="0090013D"/>
    <w:rsid w:val="0090022F"/>
    <w:rsid w:val="00900310"/>
    <w:rsid w:val="00900766"/>
    <w:rsid w:val="00900F03"/>
    <w:rsid w:val="009013E3"/>
    <w:rsid w:val="00901CFE"/>
    <w:rsid w:val="009021FB"/>
    <w:rsid w:val="0090225E"/>
    <w:rsid w:val="00902574"/>
    <w:rsid w:val="0090264B"/>
    <w:rsid w:val="00902659"/>
    <w:rsid w:val="00902DDC"/>
    <w:rsid w:val="00903584"/>
    <w:rsid w:val="0090447A"/>
    <w:rsid w:val="0090460C"/>
    <w:rsid w:val="00904741"/>
    <w:rsid w:val="00904EDC"/>
    <w:rsid w:val="0090508E"/>
    <w:rsid w:val="009056DA"/>
    <w:rsid w:val="00905D10"/>
    <w:rsid w:val="00906555"/>
    <w:rsid w:val="0090662B"/>
    <w:rsid w:val="00907190"/>
    <w:rsid w:val="009074C6"/>
    <w:rsid w:val="00907565"/>
    <w:rsid w:val="00907D28"/>
    <w:rsid w:val="00907E1E"/>
    <w:rsid w:val="00910127"/>
    <w:rsid w:val="00910745"/>
    <w:rsid w:val="0091095F"/>
    <w:rsid w:val="0091099A"/>
    <w:rsid w:val="00910B53"/>
    <w:rsid w:val="00910C21"/>
    <w:rsid w:val="00911010"/>
    <w:rsid w:val="0091120C"/>
    <w:rsid w:val="00911973"/>
    <w:rsid w:val="00911FC9"/>
    <w:rsid w:val="009121FE"/>
    <w:rsid w:val="00912443"/>
    <w:rsid w:val="00912960"/>
    <w:rsid w:val="00912B3E"/>
    <w:rsid w:val="00912F07"/>
    <w:rsid w:val="0091451E"/>
    <w:rsid w:val="0091481C"/>
    <w:rsid w:val="0091488F"/>
    <w:rsid w:val="00914A81"/>
    <w:rsid w:val="00914BBF"/>
    <w:rsid w:val="00914DFA"/>
    <w:rsid w:val="00914FC1"/>
    <w:rsid w:val="009152D5"/>
    <w:rsid w:val="009152E2"/>
    <w:rsid w:val="009158D0"/>
    <w:rsid w:val="009158FA"/>
    <w:rsid w:val="00916A16"/>
    <w:rsid w:val="00916B49"/>
    <w:rsid w:val="00917435"/>
    <w:rsid w:val="00917449"/>
    <w:rsid w:val="00917A2C"/>
    <w:rsid w:val="00917A98"/>
    <w:rsid w:val="00917F42"/>
    <w:rsid w:val="009204C1"/>
    <w:rsid w:val="009205B5"/>
    <w:rsid w:val="0092084C"/>
    <w:rsid w:val="00920AD6"/>
    <w:rsid w:val="00920C9C"/>
    <w:rsid w:val="00920D21"/>
    <w:rsid w:val="009210EF"/>
    <w:rsid w:val="00921204"/>
    <w:rsid w:val="00921A5B"/>
    <w:rsid w:val="00921C1B"/>
    <w:rsid w:val="009228A2"/>
    <w:rsid w:val="00922FB5"/>
    <w:rsid w:val="00923086"/>
    <w:rsid w:val="0092344B"/>
    <w:rsid w:val="00923A02"/>
    <w:rsid w:val="00923BE1"/>
    <w:rsid w:val="00923BE3"/>
    <w:rsid w:val="00923DAF"/>
    <w:rsid w:val="009245D1"/>
    <w:rsid w:val="00924791"/>
    <w:rsid w:val="009247AE"/>
    <w:rsid w:val="00924C7B"/>
    <w:rsid w:val="00925079"/>
    <w:rsid w:val="00925521"/>
    <w:rsid w:val="009255A1"/>
    <w:rsid w:val="009255A5"/>
    <w:rsid w:val="00926288"/>
    <w:rsid w:val="009266F7"/>
    <w:rsid w:val="00926BC5"/>
    <w:rsid w:val="00926C88"/>
    <w:rsid w:val="00926DD0"/>
    <w:rsid w:val="00927701"/>
    <w:rsid w:val="00927831"/>
    <w:rsid w:val="00927D85"/>
    <w:rsid w:val="009304F9"/>
    <w:rsid w:val="009305AE"/>
    <w:rsid w:val="009305CE"/>
    <w:rsid w:val="00930816"/>
    <w:rsid w:val="00930A59"/>
    <w:rsid w:val="00931301"/>
    <w:rsid w:val="00931957"/>
    <w:rsid w:val="00931DE8"/>
    <w:rsid w:val="009324C0"/>
    <w:rsid w:val="009329B0"/>
    <w:rsid w:val="00932D77"/>
    <w:rsid w:val="00933376"/>
    <w:rsid w:val="00933473"/>
    <w:rsid w:val="00934264"/>
    <w:rsid w:val="009342B9"/>
    <w:rsid w:val="009342DF"/>
    <w:rsid w:val="00934360"/>
    <w:rsid w:val="00934782"/>
    <w:rsid w:val="009350D1"/>
    <w:rsid w:val="00935388"/>
    <w:rsid w:val="00935448"/>
    <w:rsid w:val="00935D02"/>
    <w:rsid w:val="00935D39"/>
    <w:rsid w:val="009375CB"/>
    <w:rsid w:val="00937D9D"/>
    <w:rsid w:val="009408CB"/>
    <w:rsid w:val="009409F4"/>
    <w:rsid w:val="00940BE2"/>
    <w:rsid w:val="00940C7B"/>
    <w:rsid w:val="0094119F"/>
    <w:rsid w:val="00941BFD"/>
    <w:rsid w:val="009420AD"/>
    <w:rsid w:val="009427E8"/>
    <w:rsid w:val="00942E60"/>
    <w:rsid w:val="00942ECC"/>
    <w:rsid w:val="00942F01"/>
    <w:rsid w:val="00943113"/>
    <w:rsid w:val="0094338D"/>
    <w:rsid w:val="009435E6"/>
    <w:rsid w:val="00943936"/>
    <w:rsid w:val="00943B89"/>
    <w:rsid w:val="009447AA"/>
    <w:rsid w:val="0094493F"/>
    <w:rsid w:val="009449FA"/>
    <w:rsid w:val="00944BF9"/>
    <w:rsid w:val="00944DD0"/>
    <w:rsid w:val="009456EE"/>
    <w:rsid w:val="00945746"/>
    <w:rsid w:val="00945D13"/>
    <w:rsid w:val="009468B5"/>
    <w:rsid w:val="00946995"/>
    <w:rsid w:val="00946DE1"/>
    <w:rsid w:val="00947298"/>
    <w:rsid w:val="00947918"/>
    <w:rsid w:val="00947B0C"/>
    <w:rsid w:val="00950076"/>
    <w:rsid w:val="00950373"/>
    <w:rsid w:val="00950391"/>
    <w:rsid w:val="00950A4E"/>
    <w:rsid w:val="00950EC1"/>
    <w:rsid w:val="00951859"/>
    <w:rsid w:val="00951869"/>
    <w:rsid w:val="00951B3A"/>
    <w:rsid w:val="00951DBB"/>
    <w:rsid w:val="00952365"/>
    <w:rsid w:val="00952735"/>
    <w:rsid w:val="00952A6E"/>
    <w:rsid w:val="00952AE3"/>
    <w:rsid w:val="00953655"/>
    <w:rsid w:val="00953F97"/>
    <w:rsid w:val="0095426C"/>
    <w:rsid w:val="00954500"/>
    <w:rsid w:val="00954808"/>
    <w:rsid w:val="00954B66"/>
    <w:rsid w:val="00955778"/>
    <w:rsid w:val="00955E54"/>
    <w:rsid w:val="009560C2"/>
    <w:rsid w:val="00956B3E"/>
    <w:rsid w:val="00956C88"/>
    <w:rsid w:val="00956D6D"/>
    <w:rsid w:val="00957037"/>
    <w:rsid w:val="009570EB"/>
    <w:rsid w:val="009573C0"/>
    <w:rsid w:val="0095768C"/>
    <w:rsid w:val="009579B4"/>
    <w:rsid w:val="00957F0D"/>
    <w:rsid w:val="00960030"/>
    <w:rsid w:val="0096048F"/>
    <w:rsid w:val="0096066B"/>
    <w:rsid w:val="00960B1E"/>
    <w:rsid w:val="00961365"/>
    <w:rsid w:val="009616C4"/>
    <w:rsid w:val="00961982"/>
    <w:rsid w:val="0096226F"/>
    <w:rsid w:val="00962276"/>
    <w:rsid w:val="00962606"/>
    <w:rsid w:val="0096308C"/>
    <w:rsid w:val="00963920"/>
    <w:rsid w:val="00963A0E"/>
    <w:rsid w:val="00964610"/>
    <w:rsid w:val="00964BD5"/>
    <w:rsid w:val="00964BDD"/>
    <w:rsid w:val="00964F89"/>
    <w:rsid w:val="009651D3"/>
    <w:rsid w:val="009655EA"/>
    <w:rsid w:val="00965F15"/>
    <w:rsid w:val="009660B2"/>
    <w:rsid w:val="009661F3"/>
    <w:rsid w:val="0096622B"/>
    <w:rsid w:val="00966399"/>
    <w:rsid w:val="00966763"/>
    <w:rsid w:val="00966B67"/>
    <w:rsid w:val="00966C05"/>
    <w:rsid w:val="00966FE1"/>
    <w:rsid w:val="00967D3C"/>
    <w:rsid w:val="00967DB7"/>
    <w:rsid w:val="00967FC2"/>
    <w:rsid w:val="0097099C"/>
    <w:rsid w:val="00970A43"/>
    <w:rsid w:val="00971291"/>
    <w:rsid w:val="0097130F"/>
    <w:rsid w:val="009714F2"/>
    <w:rsid w:val="00971969"/>
    <w:rsid w:val="0097232F"/>
    <w:rsid w:val="0097276C"/>
    <w:rsid w:val="0097283B"/>
    <w:rsid w:val="00972911"/>
    <w:rsid w:val="00972EB6"/>
    <w:rsid w:val="009732DD"/>
    <w:rsid w:val="00973DC2"/>
    <w:rsid w:val="0097482B"/>
    <w:rsid w:val="00974AFE"/>
    <w:rsid w:val="009754BE"/>
    <w:rsid w:val="0097570D"/>
    <w:rsid w:val="009759E8"/>
    <w:rsid w:val="0097611D"/>
    <w:rsid w:val="009766D6"/>
    <w:rsid w:val="00976CEE"/>
    <w:rsid w:val="00976E74"/>
    <w:rsid w:val="00977CEA"/>
    <w:rsid w:val="00980E28"/>
    <w:rsid w:val="009810E7"/>
    <w:rsid w:val="00981187"/>
    <w:rsid w:val="0098127F"/>
    <w:rsid w:val="0098157C"/>
    <w:rsid w:val="00981A78"/>
    <w:rsid w:val="00981DF3"/>
    <w:rsid w:val="00981F9E"/>
    <w:rsid w:val="0098214A"/>
    <w:rsid w:val="0098261C"/>
    <w:rsid w:val="00983152"/>
    <w:rsid w:val="00983D13"/>
    <w:rsid w:val="00984243"/>
    <w:rsid w:val="009857E2"/>
    <w:rsid w:val="00985A7F"/>
    <w:rsid w:val="00985C04"/>
    <w:rsid w:val="00985E14"/>
    <w:rsid w:val="0098607D"/>
    <w:rsid w:val="009860E9"/>
    <w:rsid w:val="009866FF"/>
    <w:rsid w:val="00986ECA"/>
    <w:rsid w:val="00987B5B"/>
    <w:rsid w:val="00987EC7"/>
    <w:rsid w:val="00990BB0"/>
    <w:rsid w:val="00990D24"/>
    <w:rsid w:val="009918DB"/>
    <w:rsid w:val="009919D6"/>
    <w:rsid w:val="00992075"/>
    <w:rsid w:val="00992511"/>
    <w:rsid w:val="0099259F"/>
    <w:rsid w:val="00992AF7"/>
    <w:rsid w:val="00992B84"/>
    <w:rsid w:val="00992BF3"/>
    <w:rsid w:val="00992C52"/>
    <w:rsid w:val="00992C62"/>
    <w:rsid w:val="009932AA"/>
    <w:rsid w:val="009932B9"/>
    <w:rsid w:val="0099370D"/>
    <w:rsid w:val="00993D31"/>
    <w:rsid w:val="00993D7B"/>
    <w:rsid w:val="00993DA3"/>
    <w:rsid w:val="0099486C"/>
    <w:rsid w:val="0099489B"/>
    <w:rsid w:val="0099503C"/>
    <w:rsid w:val="009951A6"/>
    <w:rsid w:val="0099596E"/>
    <w:rsid w:val="00995CC3"/>
    <w:rsid w:val="00996456"/>
    <w:rsid w:val="00996D44"/>
    <w:rsid w:val="0099787E"/>
    <w:rsid w:val="00997C7B"/>
    <w:rsid w:val="009A03C8"/>
    <w:rsid w:val="009A12ED"/>
    <w:rsid w:val="009A16C0"/>
    <w:rsid w:val="009A1A3F"/>
    <w:rsid w:val="009A1C3A"/>
    <w:rsid w:val="009A2626"/>
    <w:rsid w:val="009A2917"/>
    <w:rsid w:val="009A293D"/>
    <w:rsid w:val="009A2E83"/>
    <w:rsid w:val="009A30E3"/>
    <w:rsid w:val="009A3365"/>
    <w:rsid w:val="009A3A40"/>
    <w:rsid w:val="009A3C60"/>
    <w:rsid w:val="009A41A3"/>
    <w:rsid w:val="009A43F5"/>
    <w:rsid w:val="009A4644"/>
    <w:rsid w:val="009A48CA"/>
    <w:rsid w:val="009A4AA0"/>
    <w:rsid w:val="009A4ABF"/>
    <w:rsid w:val="009A4E2F"/>
    <w:rsid w:val="009A4E51"/>
    <w:rsid w:val="009A52D3"/>
    <w:rsid w:val="009A55AD"/>
    <w:rsid w:val="009A5B55"/>
    <w:rsid w:val="009A5B59"/>
    <w:rsid w:val="009A6068"/>
    <w:rsid w:val="009A627E"/>
    <w:rsid w:val="009A6457"/>
    <w:rsid w:val="009A68FA"/>
    <w:rsid w:val="009A6D36"/>
    <w:rsid w:val="009A7287"/>
    <w:rsid w:val="009A72D8"/>
    <w:rsid w:val="009A74A7"/>
    <w:rsid w:val="009A77F4"/>
    <w:rsid w:val="009A7BBF"/>
    <w:rsid w:val="009A7CA2"/>
    <w:rsid w:val="009B033D"/>
    <w:rsid w:val="009B0724"/>
    <w:rsid w:val="009B0BB3"/>
    <w:rsid w:val="009B128A"/>
    <w:rsid w:val="009B145E"/>
    <w:rsid w:val="009B1615"/>
    <w:rsid w:val="009B18B9"/>
    <w:rsid w:val="009B1A74"/>
    <w:rsid w:val="009B1C87"/>
    <w:rsid w:val="009B2338"/>
    <w:rsid w:val="009B244B"/>
    <w:rsid w:val="009B2692"/>
    <w:rsid w:val="009B275C"/>
    <w:rsid w:val="009B2A51"/>
    <w:rsid w:val="009B2D10"/>
    <w:rsid w:val="009B2FB1"/>
    <w:rsid w:val="009B30D6"/>
    <w:rsid w:val="009B4C8F"/>
    <w:rsid w:val="009B50EF"/>
    <w:rsid w:val="009B57A6"/>
    <w:rsid w:val="009B5C38"/>
    <w:rsid w:val="009B5D30"/>
    <w:rsid w:val="009B5DB4"/>
    <w:rsid w:val="009B5F43"/>
    <w:rsid w:val="009B7143"/>
    <w:rsid w:val="009B7698"/>
    <w:rsid w:val="009B7830"/>
    <w:rsid w:val="009B783B"/>
    <w:rsid w:val="009C05A5"/>
    <w:rsid w:val="009C066A"/>
    <w:rsid w:val="009C07E2"/>
    <w:rsid w:val="009C0CB7"/>
    <w:rsid w:val="009C0D00"/>
    <w:rsid w:val="009C0D13"/>
    <w:rsid w:val="009C1319"/>
    <w:rsid w:val="009C146F"/>
    <w:rsid w:val="009C1B1F"/>
    <w:rsid w:val="009C2292"/>
    <w:rsid w:val="009C29C6"/>
    <w:rsid w:val="009C2E14"/>
    <w:rsid w:val="009C3410"/>
    <w:rsid w:val="009C34C0"/>
    <w:rsid w:val="009C34D0"/>
    <w:rsid w:val="009C3572"/>
    <w:rsid w:val="009C3615"/>
    <w:rsid w:val="009C403A"/>
    <w:rsid w:val="009C46CC"/>
    <w:rsid w:val="009C5A68"/>
    <w:rsid w:val="009C5A74"/>
    <w:rsid w:val="009C5B1E"/>
    <w:rsid w:val="009C6473"/>
    <w:rsid w:val="009C64B2"/>
    <w:rsid w:val="009C66E2"/>
    <w:rsid w:val="009C7013"/>
    <w:rsid w:val="009C7AE3"/>
    <w:rsid w:val="009D021D"/>
    <w:rsid w:val="009D0258"/>
    <w:rsid w:val="009D0419"/>
    <w:rsid w:val="009D0653"/>
    <w:rsid w:val="009D08AA"/>
    <w:rsid w:val="009D0F53"/>
    <w:rsid w:val="009D1182"/>
    <w:rsid w:val="009D197A"/>
    <w:rsid w:val="009D2065"/>
    <w:rsid w:val="009D248F"/>
    <w:rsid w:val="009D2734"/>
    <w:rsid w:val="009D273D"/>
    <w:rsid w:val="009D299D"/>
    <w:rsid w:val="009D29DA"/>
    <w:rsid w:val="009D304D"/>
    <w:rsid w:val="009D3110"/>
    <w:rsid w:val="009D32D3"/>
    <w:rsid w:val="009D33FD"/>
    <w:rsid w:val="009D3BC6"/>
    <w:rsid w:val="009D3E65"/>
    <w:rsid w:val="009D4B48"/>
    <w:rsid w:val="009D4D44"/>
    <w:rsid w:val="009D4E8B"/>
    <w:rsid w:val="009D527D"/>
    <w:rsid w:val="009D5A73"/>
    <w:rsid w:val="009D5CAB"/>
    <w:rsid w:val="009D5DAD"/>
    <w:rsid w:val="009D6157"/>
    <w:rsid w:val="009D6347"/>
    <w:rsid w:val="009D6BF4"/>
    <w:rsid w:val="009D73B6"/>
    <w:rsid w:val="009D768A"/>
    <w:rsid w:val="009E02ED"/>
    <w:rsid w:val="009E08DE"/>
    <w:rsid w:val="009E1032"/>
    <w:rsid w:val="009E13FD"/>
    <w:rsid w:val="009E147C"/>
    <w:rsid w:val="009E15A0"/>
    <w:rsid w:val="009E176D"/>
    <w:rsid w:val="009E1F2D"/>
    <w:rsid w:val="009E214A"/>
    <w:rsid w:val="009E2205"/>
    <w:rsid w:val="009E2248"/>
    <w:rsid w:val="009E23EE"/>
    <w:rsid w:val="009E274F"/>
    <w:rsid w:val="009E2CA9"/>
    <w:rsid w:val="009E3568"/>
    <w:rsid w:val="009E3ADB"/>
    <w:rsid w:val="009E3E16"/>
    <w:rsid w:val="009E49E0"/>
    <w:rsid w:val="009E4E9F"/>
    <w:rsid w:val="009E4ED1"/>
    <w:rsid w:val="009E5002"/>
    <w:rsid w:val="009E5285"/>
    <w:rsid w:val="009E5888"/>
    <w:rsid w:val="009E5986"/>
    <w:rsid w:val="009E5B5F"/>
    <w:rsid w:val="009E5FEC"/>
    <w:rsid w:val="009E67C9"/>
    <w:rsid w:val="009E6D36"/>
    <w:rsid w:val="009E6EA8"/>
    <w:rsid w:val="009E751D"/>
    <w:rsid w:val="009E77FA"/>
    <w:rsid w:val="009E790D"/>
    <w:rsid w:val="009E7CFF"/>
    <w:rsid w:val="009F0044"/>
    <w:rsid w:val="009F03D7"/>
    <w:rsid w:val="009F0427"/>
    <w:rsid w:val="009F091C"/>
    <w:rsid w:val="009F16F0"/>
    <w:rsid w:val="009F1946"/>
    <w:rsid w:val="009F2118"/>
    <w:rsid w:val="009F2531"/>
    <w:rsid w:val="009F3279"/>
    <w:rsid w:val="009F32B2"/>
    <w:rsid w:val="009F4141"/>
    <w:rsid w:val="009F4793"/>
    <w:rsid w:val="009F4960"/>
    <w:rsid w:val="009F4D0C"/>
    <w:rsid w:val="009F5899"/>
    <w:rsid w:val="009F650D"/>
    <w:rsid w:val="009F72AD"/>
    <w:rsid w:val="009F7816"/>
    <w:rsid w:val="009F787C"/>
    <w:rsid w:val="009F7D61"/>
    <w:rsid w:val="00A00321"/>
    <w:rsid w:val="00A005C1"/>
    <w:rsid w:val="00A00F97"/>
    <w:rsid w:val="00A01CF9"/>
    <w:rsid w:val="00A01F1E"/>
    <w:rsid w:val="00A02915"/>
    <w:rsid w:val="00A02E1C"/>
    <w:rsid w:val="00A035EB"/>
    <w:rsid w:val="00A03666"/>
    <w:rsid w:val="00A03A41"/>
    <w:rsid w:val="00A03D85"/>
    <w:rsid w:val="00A04969"/>
    <w:rsid w:val="00A04AA7"/>
    <w:rsid w:val="00A04C18"/>
    <w:rsid w:val="00A04FD8"/>
    <w:rsid w:val="00A057FB"/>
    <w:rsid w:val="00A0643A"/>
    <w:rsid w:val="00A064F5"/>
    <w:rsid w:val="00A06795"/>
    <w:rsid w:val="00A06A73"/>
    <w:rsid w:val="00A06CE7"/>
    <w:rsid w:val="00A07382"/>
    <w:rsid w:val="00A07633"/>
    <w:rsid w:val="00A07DA5"/>
    <w:rsid w:val="00A07E33"/>
    <w:rsid w:val="00A1029E"/>
    <w:rsid w:val="00A10DA8"/>
    <w:rsid w:val="00A10DE2"/>
    <w:rsid w:val="00A1129F"/>
    <w:rsid w:val="00A117C0"/>
    <w:rsid w:val="00A11800"/>
    <w:rsid w:val="00A11E6A"/>
    <w:rsid w:val="00A12037"/>
    <w:rsid w:val="00A12A46"/>
    <w:rsid w:val="00A12C14"/>
    <w:rsid w:val="00A12E70"/>
    <w:rsid w:val="00A12EFD"/>
    <w:rsid w:val="00A12FA9"/>
    <w:rsid w:val="00A134D9"/>
    <w:rsid w:val="00A14377"/>
    <w:rsid w:val="00A14768"/>
    <w:rsid w:val="00A14FE7"/>
    <w:rsid w:val="00A152C4"/>
    <w:rsid w:val="00A15629"/>
    <w:rsid w:val="00A15771"/>
    <w:rsid w:val="00A1588B"/>
    <w:rsid w:val="00A158C7"/>
    <w:rsid w:val="00A15958"/>
    <w:rsid w:val="00A162CD"/>
    <w:rsid w:val="00A165DB"/>
    <w:rsid w:val="00A16600"/>
    <w:rsid w:val="00A1685E"/>
    <w:rsid w:val="00A16A0C"/>
    <w:rsid w:val="00A16AC5"/>
    <w:rsid w:val="00A17125"/>
    <w:rsid w:val="00A172B5"/>
    <w:rsid w:val="00A17696"/>
    <w:rsid w:val="00A178F6"/>
    <w:rsid w:val="00A20017"/>
    <w:rsid w:val="00A202E3"/>
    <w:rsid w:val="00A20A1C"/>
    <w:rsid w:val="00A20CF9"/>
    <w:rsid w:val="00A2121F"/>
    <w:rsid w:val="00A2142C"/>
    <w:rsid w:val="00A2189A"/>
    <w:rsid w:val="00A2312A"/>
    <w:rsid w:val="00A2348B"/>
    <w:rsid w:val="00A23576"/>
    <w:rsid w:val="00A240BD"/>
    <w:rsid w:val="00A24328"/>
    <w:rsid w:val="00A243E2"/>
    <w:rsid w:val="00A244C1"/>
    <w:rsid w:val="00A24BBB"/>
    <w:rsid w:val="00A253A2"/>
    <w:rsid w:val="00A25A11"/>
    <w:rsid w:val="00A25D0E"/>
    <w:rsid w:val="00A25D24"/>
    <w:rsid w:val="00A26184"/>
    <w:rsid w:val="00A26289"/>
    <w:rsid w:val="00A264DC"/>
    <w:rsid w:val="00A2667E"/>
    <w:rsid w:val="00A26B85"/>
    <w:rsid w:val="00A26DAC"/>
    <w:rsid w:val="00A2758A"/>
    <w:rsid w:val="00A3018E"/>
    <w:rsid w:val="00A3054F"/>
    <w:rsid w:val="00A3114E"/>
    <w:rsid w:val="00A3129A"/>
    <w:rsid w:val="00A31354"/>
    <w:rsid w:val="00A31363"/>
    <w:rsid w:val="00A31615"/>
    <w:rsid w:val="00A31B96"/>
    <w:rsid w:val="00A321E1"/>
    <w:rsid w:val="00A323D1"/>
    <w:rsid w:val="00A32F66"/>
    <w:rsid w:val="00A32FF3"/>
    <w:rsid w:val="00A33560"/>
    <w:rsid w:val="00A3361E"/>
    <w:rsid w:val="00A33797"/>
    <w:rsid w:val="00A337AF"/>
    <w:rsid w:val="00A33C48"/>
    <w:rsid w:val="00A3402E"/>
    <w:rsid w:val="00A34C67"/>
    <w:rsid w:val="00A34C94"/>
    <w:rsid w:val="00A35086"/>
    <w:rsid w:val="00A3535A"/>
    <w:rsid w:val="00A353D9"/>
    <w:rsid w:val="00A361C6"/>
    <w:rsid w:val="00A36267"/>
    <w:rsid w:val="00A3629E"/>
    <w:rsid w:val="00A363A1"/>
    <w:rsid w:val="00A36CCD"/>
    <w:rsid w:val="00A3794C"/>
    <w:rsid w:val="00A37AE9"/>
    <w:rsid w:val="00A37C0A"/>
    <w:rsid w:val="00A401FC"/>
    <w:rsid w:val="00A407A5"/>
    <w:rsid w:val="00A407F5"/>
    <w:rsid w:val="00A4102D"/>
    <w:rsid w:val="00A414C2"/>
    <w:rsid w:val="00A416F2"/>
    <w:rsid w:val="00A4179F"/>
    <w:rsid w:val="00A41A21"/>
    <w:rsid w:val="00A41D79"/>
    <w:rsid w:val="00A4266F"/>
    <w:rsid w:val="00A42888"/>
    <w:rsid w:val="00A42D2B"/>
    <w:rsid w:val="00A4327C"/>
    <w:rsid w:val="00A435A9"/>
    <w:rsid w:val="00A4382F"/>
    <w:rsid w:val="00A43A8F"/>
    <w:rsid w:val="00A43BEE"/>
    <w:rsid w:val="00A43CFA"/>
    <w:rsid w:val="00A44AE0"/>
    <w:rsid w:val="00A44D05"/>
    <w:rsid w:val="00A44ED0"/>
    <w:rsid w:val="00A454D5"/>
    <w:rsid w:val="00A458A0"/>
    <w:rsid w:val="00A45918"/>
    <w:rsid w:val="00A45B8D"/>
    <w:rsid w:val="00A46004"/>
    <w:rsid w:val="00A464C3"/>
    <w:rsid w:val="00A46548"/>
    <w:rsid w:val="00A4684B"/>
    <w:rsid w:val="00A46EA8"/>
    <w:rsid w:val="00A47296"/>
    <w:rsid w:val="00A47879"/>
    <w:rsid w:val="00A47FC6"/>
    <w:rsid w:val="00A50246"/>
    <w:rsid w:val="00A504AE"/>
    <w:rsid w:val="00A505B5"/>
    <w:rsid w:val="00A506FE"/>
    <w:rsid w:val="00A50959"/>
    <w:rsid w:val="00A51206"/>
    <w:rsid w:val="00A51350"/>
    <w:rsid w:val="00A514AE"/>
    <w:rsid w:val="00A516E1"/>
    <w:rsid w:val="00A5180A"/>
    <w:rsid w:val="00A51B12"/>
    <w:rsid w:val="00A52741"/>
    <w:rsid w:val="00A52B3D"/>
    <w:rsid w:val="00A53069"/>
    <w:rsid w:val="00A5383C"/>
    <w:rsid w:val="00A538CB"/>
    <w:rsid w:val="00A53C0C"/>
    <w:rsid w:val="00A54079"/>
    <w:rsid w:val="00A54764"/>
    <w:rsid w:val="00A548A9"/>
    <w:rsid w:val="00A54D36"/>
    <w:rsid w:val="00A54EA2"/>
    <w:rsid w:val="00A5520C"/>
    <w:rsid w:val="00A552A5"/>
    <w:rsid w:val="00A55764"/>
    <w:rsid w:val="00A55B9B"/>
    <w:rsid w:val="00A55C87"/>
    <w:rsid w:val="00A55D9B"/>
    <w:rsid w:val="00A56193"/>
    <w:rsid w:val="00A5668D"/>
    <w:rsid w:val="00A56EC1"/>
    <w:rsid w:val="00A56EE1"/>
    <w:rsid w:val="00A574AC"/>
    <w:rsid w:val="00A57AB4"/>
    <w:rsid w:val="00A57F94"/>
    <w:rsid w:val="00A601EC"/>
    <w:rsid w:val="00A603A9"/>
    <w:rsid w:val="00A6042F"/>
    <w:rsid w:val="00A60946"/>
    <w:rsid w:val="00A60B0E"/>
    <w:rsid w:val="00A60CE1"/>
    <w:rsid w:val="00A60D8A"/>
    <w:rsid w:val="00A61280"/>
    <w:rsid w:val="00A614F5"/>
    <w:rsid w:val="00A61606"/>
    <w:rsid w:val="00A61E7A"/>
    <w:rsid w:val="00A61F41"/>
    <w:rsid w:val="00A63008"/>
    <w:rsid w:val="00A6382E"/>
    <w:rsid w:val="00A638BA"/>
    <w:rsid w:val="00A63902"/>
    <w:rsid w:val="00A639A0"/>
    <w:rsid w:val="00A64294"/>
    <w:rsid w:val="00A642FE"/>
    <w:rsid w:val="00A6439F"/>
    <w:rsid w:val="00A643E5"/>
    <w:rsid w:val="00A64887"/>
    <w:rsid w:val="00A64923"/>
    <w:rsid w:val="00A64B79"/>
    <w:rsid w:val="00A65774"/>
    <w:rsid w:val="00A65DE4"/>
    <w:rsid w:val="00A664BE"/>
    <w:rsid w:val="00A665E6"/>
    <w:rsid w:val="00A666E1"/>
    <w:rsid w:val="00A668F7"/>
    <w:rsid w:val="00A66973"/>
    <w:rsid w:val="00A6725A"/>
    <w:rsid w:val="00A672AC"/>
    <w:rsid w:val="00A67C9A"/>
    <w:rsid w:val="00A67E9D"/>
    <w:rsid w:val="00A70218"/>
    <w:rsid w:val="00A70A54"/>
    <w:rsid w:val="00A70AB9"/>
    <w:rsid w:val="00A70B92"/>
    <w:rsid w:val="00A70EE5"/>
    <w:rsid w:val="00A710F4"/>
    <w:rsid w:val="00A71730"/>
    <w:rsid w:val="00A7178C"/>
    <w:rsid w:val="00A71A71"/>
    <w:rsid w:val="00A72A1E"/>
    <w:rsid w:val="00A72C28"/>
    <w:rsid w:val="00A73080"/>
    <w:rsid w:val="00A730FC"/>
    <w:rsid w:val="00A73112"/>
    <w:rsid w:val="00A73254"/>
    <w:rsid w:val="00A7364F"/>
    <w:rsid w:val="00A736C0"/>
    <w:rsid w:val="00A73DB5"/>
    <w:rsid w:val="00A73DCA"/>
    <w:rsid w:val="00A73FAB"/>
    <w:rsid w:val="00A7472F"/>
    <w:rsid w:val="00A74A05"/>
    <w:rsid w:val="00A74CA0"/>
    <w:rsid w:val="00A75561"/>
    <w:rsid w:val="00A7563B"/>
    <w:rsid w:val="00A757D1"/>
    <w:rsid w:val="00A75DD3"/>
    <w:rsid w:val="00A760C6"/>
    <w:rsid w:val="00A7668F"/>
    <w:rsid w:val="00A76B39"/>
    <w:rsid w:val="00A76FCE"/>
    <w:rsid w:val="00A777F9"/>
    <w:rsid w:val="00A77E73"/>
    <w:rsid w:val="00A77F5E"/>
    <w:rsid w:val="00A77FAB"/>
    <w:rsid w:val="00A809F2"/>
    <w:rsid w:val="00A80A3E"/>
    <w:rsid w:val="00A82017"/>
    <w:rsid w:val="00A82654"/>
    <w:rsid w:val="00A82FCB"/>
    <w:rsid w:val="00A8364A"/>
    <w:rsid w:val="00A839B3"/>
    <w:rsid w:val="00A839DB"/>
    <w:rsid w:val="00A845F1"/>
    <w:rsid w:val="00A847E9"/>
    <w:rsid w:val="00A84C40"/>
    <w:rsid w:val="00A856BF"/>
    <w:rsid w:val="00A85B64"/>
    <w:rsid w:val="00A85D21"/>
    <w:rsid w:val="00A86151"/>
    <w:rsid w:val="00A86323"/>
    <w:rsid w:val="00A866B6"/>
    <w:rsid w:val="00A86B6A"/>
    <w:rsid w:val="00A86D3E"/>
    <w:rsid w:val="00A87F62"/>
    <w:rsid w:val="00A87FD4"/>
    <w:rsid w:val="00A90A30"/>
    <w:rsid w:val="00A911CB"/>
    <w:rsid w:val="00A918B6"/>
    <w:rsid w:val="00A91D0F"/>
    <w:rsid w:val="00A92499"/>
    <w:rsid w:val="00A934DA"/>
    <w:rsid w:val="00A93DDA"/>
    <w:rsid w:val="00A93F31"/>
    <w:rsid w:val="00A940C3"/>
    <w:rsid w:val="00A94C2F"/>
    <w:rsid w:val="00A94CAB"/>
    <w:rsid w:val="00A94E26"/>
    <w:rsid w:val="00A94E94"/>
    <w:rsid w:val="00A94F13"/>
    <w:rsid w:val="00A94F8C"/>
    <w:rsid w:val="00A9565C"/>
    <w:rsid w:val="00A958B6"/>
    <w:rsid w:val="00A95C6A"/>
    <w:rsid w:val="00A96593"/>
    <w:rsid w:val="00A9678F"/>
    <w:rsid w:val="00A96CDB"/>
    <w:rsid w:val="00A96DDE"/>
    <w:rsid w:val="00A96E50"/>
    <w:rsid w:val="00A9728D"/>
    <w:rsid w:val="00A976D6"/>
    <w:rsid w:val="00A97D35"/>
    <w:rsid w:val="00AA03B9"/>
    <w:rsid w:val="00AA0DC7"/>
    <w:rsid w:val="00AA0EC1"/>
    <w:rsid w:val="00AA10F3"/>
    <w:rsid w:val="00AA1560"/>
    <w:rsid w:val="00AA177B"/>
    <w:rsid w:val="00AA1A8A"/>
    <w:rsid w:val="00AA1BCE"/>
    <w:rsid w:val="00AA1C84"/>
    <w:rsid w:val="00AA24BF"/>
    <w:rsid w:val="00AA2D43"/>
    <w:rsid w:val="00AA2F11"/>
    <w:rsid w:val="00AA33B8"/>
    <w:rsid w:val="00AA351A"/>
    <w:rsid w:val="00AA37C7"/>
    <w:rsid w:val="00AA3BA9"/>
    <w:rsid w:val="00AA3FFA"/>
    <w:rsid w:val="00AA4299"/>
    <w:rsid w:val="00AA44DA"/>
    <w:rsid w:val="00AA4526"/>
    <w:rsid w:val="00AA478F"/>
    <w:rsid w:val="00AA47E9"/>
    <w:rsid w:val="00AA49EE"/>
    <w:rsid w:val="00AA4A22"/>
    <w:rsid w:val="00AA5033"/>
    <w:rsid w:val="00AA50C9"/>
    <w:rsid w:val="00AA523B"/>
    <w:rsid w:val="00AA56A1"/>
    <w:rsid w:val="00AA59C4"/>
    <w:rsid w:val="00AA5C89"/>
    <w:rsid w:val="00AA60CB"/>
    <w:rsid w:val="00AA657A"/>
    <w:rsid w:val="00AA66F7"/>
    <w:rsid w:val="00AA6A14"/>
    <w:rsid w:val="00AA7050"/>
    <w:rsid w:val="00AA72EF"/>
    <w:rsid w:val="00AB03FD"/>
    <w:rsid w:val="00AB050F"/>
    <w:rsid w:val="00AB0F7D"/>
    <w:rsid w:val="00AB0F80"/>
    <w:rsid w:val="00AB1558"/>
    <w:rsid w:val="00AB2518"/>
    <w:rsid w:val="00AB2FF0"/>
    <w:rsid w:val="00AB3061"/>
    <w:rsid w:val="00AB3235"/>
    <w:rsid w:val="00AB3267"/>
    <w:rsid w:val="00AB3413"/>
    <w:rsid w:val="00AB3A54"/>
    <w:rsid w:val="00AB4013"/>
    <w:rsid w:val="00AB46A8"/>
    <w:rsid w:val="00AB47C5"/>
    <w:rsid w:val="00AB50CB"/>
    <w:rsid w:val="00AB5304"/>
    <w:rsid w:val="00AB5654"/>
    <w:rsid w:val="00AB5C20"/>
    <w:rsid w:val="00AB5CFF"/>
    <w:rsid w:val="00AB5DF9"/>
    <w:rsid w:val="00AB5DFE"/>
    <w:rsid w:val="00AB7606"/>
    <w:rsid w:val="00AB7957"/>
    <w:rsid w:val="00AB79EB"/>
    <w:rsid w:val="00AC0100"/>
    <w:rsid w:val="00AC0413"/>
    <w:rsid w:val="00AC0526"/>
    <w:rsid w:val="00AC0584"/>
    <w:rsid w:val="00AC0E04"/>
    <w:rsid w:val="00AC0F92"/>
    <w:rsid w:val="00AC1101"/>
    <w:rsid w:val="00AC1515"/>
    <w:rsid w:val="00AC1756"/>
    <w:rsid w:val="00AC182B"/>
    <w:rsid w:val="00AC1BA5"/>
    <w:rsid w:val="00AC1C37"/>
    <w:rsid w:val="00AC309E"/>
    <w:rsid w:val="00AC31DA"/>
    <w:rsid w:val="00AC3289"/>
    <w:rsid w:val="00AC3655"/>
    <w:rsid w:val="00AC3954"/>
    <w:rsid w:val="00AC3987"/>
    <w:rsid w:val="00AC528D"/>
    <w:rsid w:val="00AC5625"/>
    <w:rsid w:val="00AC5732"/>
    <w:rsid w:val="00AC5AE2"/>
    <w:rsid w:val="00AC5C98"/>
    <w:rsid w:val="00AC673F"/>
    <w:rsid w:val="00AC6A3F"/>
    <w:rsid w:val="00AC6B0A"/>
    <w:rsid w:val="00AC6B9E"/>
    <w:rsid w:val="00AC6C18"/>
    <w:rsid w:val="00AC6CDB"/>
    <w:rsid w:val="00AC7B30"/>
    <w:rsid w:val="00AC7C0C"/>
    <w:rsid w:val="00AC7DE1"/>
    <w:rsid w:val="00AC7FBA"/>
    <w:rsid w:val="00AD0DD1"/>
    <w:rsid w:val="00AD17F3"/>
    <w:rsid w:val="00AD182A"/>
    <w:rsid w:val="00AD18B2"/>
    <w:rsid w:val="00AD18F5"/>
    <w:rsid w:val="00AD1A13"/>
    <w:rsid w:val="00AD2297"/>
    <w:rsid w:val="00AD30D4"/>
    <w:rsid w:val="00AD34D6"/>
    <w:rsid w:val="00AD40B6"/>
    <w:rsid w:val="00AD4110"/>
    <w:rsid w:val="00AD4573"/>
    <w:rsid w:val="00AD46B1"/>
    <w:rsid w:val="00AD4D3E"/>
    <w:rsid w:val="00AD4DBD"/>
    <w:rsid w:val="00AD4F37"/>
    <w:rsid w:val="00AD51D6"/>
    <w:rsid w:val="00AD62CC"/>
    <w:rsid w:val="00AD6D0A"/>
    <w:rsid w:val="00AD6FD5"/>
    <w:rsid w:val="00AD7445"/>
    <w:rsid w:val="00AD75EB"/>
    <w:rsid w:val="00AD7B26"/>
    <w:rsid w:val="00AE021F"/>
    <w:rsid w:val="00AE0AE2"/>
    <w:rsid w:val="00AE0E32"/>
    <w:rsid w:val="00AE0ED6"/>
    <w:rsid w:val="00AE0FDB"/>
    <w:rsid w:val="00AE10A5"/>
    <w:rsid w:val="00AE114D"/>
    <w:rsid w:val="00AE1783"/>
    <w:rsid w:val="00AE1A86"/>
    <w:rsid w:val="00AE1F3D"/>
    <w:rsid w:val="00AE1F61"/>
    <w:rsid w:val="00AE20C6"/>
    <w:rsid w:val="00AE22C3"/>
    <w:rsid w:val="00AE309F"/>
    <w:rsid w:val="00AE321D"/>
    <w:rsid w:val="00AE3BC7"/>
    <w:rsid w:val="00AE4480"/>
    <w:rsid w:val="00AE483F"/>
    <w:rsid w:val="00AE4B94"/>
    <w:rsid w:val="00AE5002"/>
    <w:rsid w:val="00AE50CF"/>
    <w:rsid w:val="00AE50EF"/>
    <w:rsid w:val="00AE5587"/>
    <w:rsid w:val="00AE5D07"/>
    <w:rsid w:val="00AE62A7"/>
    <w:rsid w:val="00AE6356"/>
    <w:rsid w:val="00AE791F"/>
    <w:rsid w:val="00AE7AFD"/>
    <w:rsid w:val="00AE7DE9"/>
    <w:rsid w:val="00AF0160"/>
    <w:rsid w:val="00AF04E7"/>
    <w:rsid w:val="00AF0F3A"/>
    <w:rsid w:val="00AF1027"/>
    <w:rsid w:val="00AF11D2"/>
    <w:rsid w:val="00AF19CF"/>
    <w:rsid w:val="00AF1F05"/>
    <w:rsid w:val="00AF26D4"/>
    <w:rsid w:val="00AF273D"/>
    <w:rsid w:val="00AF2B12"/>
    <w:rsid w:val="00AF3379"/>
    <w:rsid w:val="00AF351F"/>
    <w:rsid w:val="00AF4316"/>
    <w:rsid w:val="00AF48CB"/>
    <w:rsid w:val="00AF4FAA"/>
    <w:rsid w:val="00AF5939"/>
    <w:rsid w:val="00AF5E82"/>
    <w:rsid w:val="00AF60EC"/>
    <w:rsid w:val="00AF6214"/>
    <w:rsid w:val="00AF6C85"/>
    <w:rsid w:val="00AF6DAE"/>
    <w:rsid w:val="00AF734F"/>
    <w:rsid w:val="00AF77E3"/>
    <w:rsid w:val="00AF7C67"/>
    <w:rsid w:val="00AF7D3E"/>
    <w:rsid w:val="00B0011F"/>
    <w:rsid w:val="00B00365"/>
    <w:rsid w:val="00B0061B"/>
    <w:rsid w:val="00B0076A"/>
    <w:rsid w:val="00B00837"/>
    <w:rsid w:val="00B00976"/>
    <w:rsid w:val="00B00FAB"/>
    <w:rsid w:val="00B011CF"/>
    <w:rsid w:val="00B0161B"/>
    <w:rsid w:val="00B016E7"/>
    <w:rsid w:val="00B019EF"/>
    <w:rsid w:val="00B01A21"/>
    <w:rsid w:val="00B01D6A"/>
    <w:rsid w:val="00B0202D"/>
    <w:rsid w:val="00B029C4"/>
    <w:rsid w:val="00B03035"/>
    <w:rsid w:val="00B03053"/>
    <w:rsid w:val="00B033DD"/>
    <w:rsid w:val="00B04ABC"/>
    <w:rsid w:val="00B062F8"/>
    <w:rsid w:val="00B065DA"/>
    <w:rsid w:val="00B0667F"/>
    <w:rsid w:val="00B06A9F"/>
    <w:rsid w:val="00B06C29"/>
    <w:rsid w:val="00B06D27"/>
    <w:rsid w:val="00B079A4"/>
    <w:rsid w:val="00B07A06"/>
    <w:rsid w:val="00B07D10"/>
    <w:rsid w:val="00B07D26"/>
    <w:rsid w:val="00B07DA0"/>
    <w:rsid w:val="00B10588"/>
    <w:rsid w:val="00B1069A"/>
    <w:rsid w:val="00B10961"/>
    <w:rsid w:val="00B109A8"/>
    <w:rsid w:val="00B1142B"/>
    <w:rsid w:val="00B11FED"/>
    <w:rsid w:val="00B12DBA"/>
    <w:rsid w:val="00B13438"/>
    <w:rsid w:val="00B13567"/>
    <w:rsid w:val="00B13A6F"/>
    <w:rsid w:val="00B13AC1"/>
    <w:rsid w:val="00B13BF5"/>
    <w:rsid w:val="00B13E49"/>
    <w:rsid w:val="00B1415A"/>
    <w:rsid w:val="00B14525"/>
    <w:rsid w:val="00B14719"/>
    <w:rsid w:val="00B1481F"/>
    <w:rsid w:val="00B14989"/>
    <w:rsid w:val="00B149FE"/>
    <w:rsid w:val="00B14A56"/>
    <w:rsid w:val="00B14CDD"/>
    <w:rsid w:val="00B14CFF"/>
    <w:rsid w:val="00B1561E"/>
    <w:rsid w:val="00B15E86"/>
    <w:rsid w:val="00B16CE2"/>
    <w:rsid w:val="00B170D2"/>
    <w:rsid w:val="00B172FA"/>
    <w:rsid w:val="00B200AE"/>
    <w:rsid w:val="00B20873"/>
    <w:rsid w:val="00B21476"/>
    <w:rsid w:val="00B2148D"/>
    <w:rsid w:val="00B215AA"/>
    <w:rsid w:val="00B21711"/>
    <w:rsid w:val="00B21AA4"/>
    <w:rsid w:val="00B21CD5"/>
    <w:rsid w:val="00B21DA8"/>
    <w:rsid w:val="00B21FE8"/>
    <w:rsid w:val="00B221BA"/>
    <w:rsid w:val="00B222A6"/>
    <w:rsid w:val="00B22460"/>
    <w:rsid w:val="00B22ABF"/>
    <w:rsid w:val="00B22E20"/>
    <w:rsid w:val="00B2303C"/>
    <w:rsid w:val="00B2338E"/>
    <w:rsid w:val="00B233BE"/>
    <w:rsid w:val="00B23785"/>
    <w:rsid w:val="00B23822"/>
    <w:rsid w:val="00B2387D"/>
    <w:rsid w:val="00B238FE"/>
    <w:rsid w:val="00B24212"/>
    <w:rsid w:val="00B246A2"/>
    <w:rsid w:val="00B252BC"/>
    <w:rsid w:val="00B25D42"/>
    <w:rsid w:val="00B25E4C"/>
    <w:rsid w:val="00B265D9"/>
    <w:rsid w:val="00B26B75"/>
    <w:rsid w:val="00B27071"/>
    <w:rsid w:val="00B27421"/>
    <w:rsid w:val="00B30610"/>
    <w:rsid w:val="00B3074B"/>
    <w:rsid w:val="00B3075F"/>
    <w:rsid w:val="00B3090E"/>
    <w:rsid w:val="00B3094A"/>
    <w:rsid w:val="00B318A7"/>
    <w:rsid w:val="00B32339"/>
    <w:rsid w:val="00B32ADE"/>
    <w:rsid w:val="00B33149"/>
    <w:rsid w:val="00B33568"/>
    <w:rsid w:val="00B33EEB"/>
    <w:rsid w:val="00B34AA7"/>
    <w:rsid w:val="00B34D84"/>
    <w:rsid w:val="00B34E65"/>
    <w:rsid w:val="00B355AF"/>
    <w:rsid w:val="00B359DA"/>
    <w:rsid w:val="00B35E57"/>
    <w:rsid w:val="00B35E99"/>
    <w:rsid w:val="00B3668E"/>
    <w:rsid w:val="00B3669A"/>
    <w:rsid w:val="00B3670F"/>
    <w:rsid w:val="00B36772"/>
    <w:rsid w:val="00B36E0F"/>
    <w:rsid w:val="00B37594"/>
    <w:rsid w:val="00B376A6"/>
    <w:rsid w:val="00B40632"/>
    <w:rsid w:val="00B40667"/>
    <w:rsid w:val="00B409A3"/>
    <w:rsid w:val="00B41C8E"/>
    <w:rsid w:val="00B4206B"/>
    <w:rsid w:val="00B420B3"/>
    <w:rsid w:val="00B422FA"/>
    <w:rsid w:val="00B43849"/>
    <w:rsid w:val="00B43BCF"/>
    <w:rsid w:val="00B44221"/>
    <w:rsid w:val="00B4457F"/>
    <w:rsid w:val="00B44677"/>
    <w:rsid w:val="00B45372"/>
    <w:rsid w:val="00B45845"/>
    <w:rsid w:val="00B45903"/>
    <w:rsid w:val="00B45AAE"/>
    <w:rsid w:val="00B45DA1"/>
    <w:rsid w:val="00B45DF1"/>
    <w:rsid w:val="00B4638B"/>
    <w:rsid w:val="00B4656E"/>
    <w:rsid w:val="00B4676D"/>
    <w:rsid w:val="00B46ABC"/>
    <w:rsid w:val="00B46C74"/>
    <w:rsid w:val="00B46F26"/>
    <w:rsid w:val="00B46F97"/>
    <w:rsid w:val="00B47262"/>
    <w:rsid w:val="00B4759A"/>
    <w:rsid w:val="00B47657"/>
    <w:rsid w:val="00B4788C"/>
    <w:rsid w:val="00B47DB2"/>
    <w:rsid w:val="00B47F3A"/>
    <w:rsid w:val="00B513AD"/>
    <w:rsid w:val="00B51842"/>
    <w:rsid w:val="00B51A02"/>
    <w:rsid w:val="00B51C32"/>
    <w:rsid w:val="00B51F6D"/>
    <w:rsid w:val="00B52677"/>
    <w:rsid w:val="00B52937"/>
    <w:rsid w:val="00B52970"/>
    <w:rsid w:val="00B52CE1"/>
    <w:rsid w:val="00B52EE4"/>
    <w:rsid w:val="00B53248"/>
    <w:rsid w:val="00B53401"/>
    <w:rsid w:val="00B53672"/>
    <w:rsid w:val="00B53983"/>
    <w:rsid w:val="00B53AC4"/>
    <w:rsid w:val="00B53B89"/>
    <w:rsid w:val="00B54058"/>
    <w:rsid w:val="00B54919"/>
    <w:rsid w:val="00B54A19"/>
    <w:rsid w:val="00B54A3D"/>
    <w:rsid w:val="00B54B10"/>
    <w:rsid w:val="00B54E9D"/>
    <w:rsid w:val="00B55729"/>
    <w:rsid w:val="00B557BC"/>
    <w:rsid w:val="00B55916"/>
    <w:rsid w:val="00B56257"/>
    <w:rsid w:val="00B563A1"/>
    <w:rsid w:val="00B569F5"/>
    <w:rsid w:val="00B56B3E"/>
    <w:rsid w:val="00B56B9A"/>
    <w:rsid w:val="00B56C40"/>
    <w:rsid w:val="00B56CF2"/>
    <w:rsid w:val="00B56ED8"/>
    <w:rsid w:val="00B57679"/>
    <w:rsid w:val="00B5778E"/>
    <w:rsid w:val="00B5793F"/>
    <w:rsid w:val="00B57BDF"/>
    <w:rsid w:val="00B57EB3"/>
    <w:rsid w:val="00B60082"/>
    <w:rsid w:val="00B600BB"/>
    <w:rsid w:val="00B6118B"/>
    <w:rsid w:val="00B61343"/>
    <w:rsid w:val="00B61A18"/>
    <w:rsid w:val="00B61F86"/>
    <w:rsid w:val="00B62EBF"/>
    <w:rsid w:val="00B63200"/>
    <w:rsid w:val="00B63AE5"/>
    <w:rsid w:val="00B63C85"/>
    <w:rsid w:val="00B646D4"/>
    <w:rsid w:val="00B64A8C"/>
    <w:rsid w:val="00B64BDE"/>
    <w:rsid w:val="00B651B6"/>
    <w:rsid w:val="00B659A0"/>
    <w:rsid w:val="00B65C6D"/>
    <w:rsid w:val="00B65E18"/>
    <w:rsid w:val="00B669AC"/>
    <w:rsid w:val="00B66CBB"/>
    <w:rsid w:val="00B671AD"/>
    <w:rsid w:val="00B67A3F"/>
    <w:rsid w:val="00B70057"/>
    <w:rsid w:val="00B70280"/>
    <w:rsid w:val="00B702F2"/>
    <w:rsid w:val="00B703A3"/>
    <w:rsid w:val="00B70612"/>
    <w:rsid w:val="00B7162C"/>
    <w:rsid w:val="00B717BF"/>
    <w:rsid w:val="00B717D9"/>
    <w:rsid w:val="00B718A0"/>
    <w:rsid w:val="00B718BA"/>
    <w:rsid w:val="00B71D9E"/>
    <w:rsid w:val="00B72469"/>
    <w:rsid w:val="00B7255D"/>
    <w:rsid w:val="00B727AB"/>
    <w:rsid w:val="00B72A79"/>
    <w:rsid w:val="00B72C0E"/>
    <w:rsid w:val="00B7330E"/>
    <w:rsid w:val="00B73365"/>
    <w:rsid w:val="00B744F3"/>
    <w:rsid w:val="00B75174"/>
    <w:rsid w:val="00B753CD"/>
    <w:rsid w:val="00B75453"/>
    <w:rsid w:val="00B754D3"/>
    <w:rsid w:val="00B75C13"/>
    <w:rsid w:val="00B76583"/>
    <w:rsid w:val="00B766F1"/>
    <w:rsid w:val="00B76C63"/>
    <w:rsid w:val="00B76EB3"/>
    <w:rsid w:val="00B76F1D"/>
    <w:rsid w:val="00B77115"/>
    <w:rsid w:val="00B774BC"/>
    <w:rsid w:val="00B7764A"/>
    <w:rsid w:val="00B779B7"/>
    <w:rsid w:val="00B77BEE"/>
    <w:rsid w:val="00B8017B"/>
    <w:rsid w:val="00B810F6"/>
    <w:rsid w:val="00B81701"/>
    <w:rsid w:val="00B82128"/>
    <w:rsid w:val="00B82135"/>
    <w:rsid w:val="00B827F2"/>
    <w:rsid w:val="00B82A72"/>
    <w:rsid w:val="00B82E8F"/>
    <w:rsid w:val="00B82EEC"/>
    <w:rsid w:val="00B832BA"/>
    <w:rsid w:val="00B834A7"/>
    <w:rsid w:val="00B8365D"/>
    <w:rsid w:val="00B841E1"/>
    <w:rsid w:val="00B845A8"/>
    <w:rsid w:val="00B856D2"/>
    <w:rsid w:val="00B85769"/>
    <w:rsid w:val="00B857E8"/>
    <w:rsid w:val="00B85906"/>
    <w:rsid w:val="00B85BE8"/>
    <w:rsid w:val="00B85C5B"/>
    <w:rsid w:val="00B85E03"/>
    <w:rsid w:val="00B861AF"/>
    <w:rsid w:val="00B8631F"/>
    <w:rsid w:val="00B86D69"/>
    <w:rsid w:val="00B86DB1"/>
    <w:rsid w:val="00B87A30"/>
    <w:rsid w:val="00B90E99"/>
    <w:rsid w:val="00B9157F"/>
    <w:rsid w:val="00B915FE"/>
    <w:rsid w:val="00B9207F"/>
    <w:rsid w:val="00B92634"/>
    <w:rsid w:val="00B92670"/>
    <w:rsid w:val="00B92AFA"/>
    <w:rsid w:val="00B92DED"/>
    <w:rsid w:val="00B93096"/>
    <w:rsid w:val="00B9314F"/>
    <w:rsid w:val="00B93350"/>
    <w:rsid w:val="00B937E4"/>
    <w:rsid w:val="00B9400D"/>
    <w:rsid w:val="00B94AC2"/>
    <w:rsid w:val="00B94C14"/>
    <w:rsid w:val="00B952B7"/>
    <w:rsid w:val="00B95315"/>
    <w:rsid w:val="00B95390"/>
    <w:rsid w:val="00B95B35"/>
    <w:rsid w:val="00B95C70"/>
    <w:rsid w:val="00B95CFC"/>
    <w:rsid w:val="00B961F2"/>
    <w:rsid w:val="00B9626D"/>
    <w:rsid w:val="00B96573"/>
    <w:rsid w:val="00B96CD0"/>
    <w:rsid w:val="00B9707E"/>
    <w:rsid w:val="00B97725"/>
    <w:rsid w:val="00B97757"/>
    <w:rsid w:val="00B97C57"/>
    <w:rsid w:val="00BA0562"/>
    <w:rsid w:val="00BA10D1"/>
    <w:rsid w:val="00BA1611"/>
    <w:rsid w:val="00BA161D"/>
    <w:rsid w:val="00BA18E9"/>
    <w:rsid w:val="00BA1A27"/>
    <w:rsid w:val="00BA1CF8"/>
    <w:rsid w:val="00BA1D46"/>
    <w:rsid w:val="00BA2065"/>
    <w:rsid w:val="00BA211C"/>
    <w:rsid w:val="00BA22F8"/>
    <w:rsid w:val="00BA2DE2"/>
    <w:rsid w:val="00BA2FC9"/>
    <w:rsid w:val="00BA3463"/>
    <w:rsid w:val="00BA34E9"/>
    <w:rsid w:val="00BA3FBF"/>
    <w:rsid w:val="00BA4897"/>
    <w:rsid w:val="00BA556A"/>
    <w:rsid w:val="00BA565D"/>
    <w:rsid w:val="00BA592E"/>
    <w:rsid w:val="00BA5BC1"/>
    <w:rsid w:val="00BA60B0"/>
    <w:rsid w:val="00BA662C"/>
    <w:rsid w:val="00BA69EC"/>
    <w:rsid w:val="00BA6B59"/>
    <w:rsid w:val="00BA71C4"/>
    <w:rsid w:val="00BA7352"/>
    <w:rsid w:val="00BA7483"/>
    <w:rsid w:val="00BA7507"/>
    <w:rsid w:val="00BA79BC"/>
    <w:rsid w:val="00BA79EF"/>
    <w:rsid w:val="00BB0023"/>
    <w:rsid w:val="00BB0A4E"/>
    <w:rsid w:val="00BB1206"/>
    <w:rsid w:val="00BB1555"/>
    <w:rsid w:val="00BB16F2"/>
    <w:rsid w:val="00BB1FEA"/>
    <w:rsid w:val="00BB21AD"/>
    <w:rsid w:val="00BB2427"/>
    <w:rsid w:val="00BB27B5"/>
    <w:rsid w:val="00BB2A7C"/>
    <w:rsid w:val="00BB329D"/>
    <w:rsid w:val="00BB36E1"/>
    <w:rsid w:val="00BB3787"/>
    <w:rsid w:val="00BB3961"/>
    <w:rsid w:val="00BB5054"/>
    <w:rsid w:val="00BB5341"/>
    <w:rsid w:val="00BB537C"/>
    <w:rsid w:val="00BB56DC"/>
    <w:rsid w:val="00BB6008"/>
    <w:rsid w:val="00BB6940"/>
    <w:rsid w:val="00BB6C2B"/>
    <w:rsid w:val="00BB6D1C"/>
    <w:rsid w:val="00BB6D9A"/>
    <w:rsid w:val="00BB702B"/>
    <w:rsid w:val="00BB7098"/>
    <w:rsid w:val="00BB7262"/>
    <w:rsid w:val="00BB7339"/>
    <w:rsid w:val="00BB74E8"/>
    <w:rsid w:val="00BB7680"/>
    <w:rsid w:val="00BB76EF"/>
    <w:rsid w:val="00BB77CB"/>
    <w:rsid w:val="00BC02CE"/>
    <w:rsid w:val="00BC03B3"/>
    <w:rsid w:val="00BC1855"/>
    <w:rsid w:val="00BC282F"/>
    <w:rsid w:val="00BC2840"/>
    <w:rsid w:val="00BC2DD0"/>
    <w:rsid w:val="00BC37DC"/>
    <w:rsid w:val="00BC392E"/>
    <w:rsid w:val="00BC39D8"/>
    <w:rsid w:val="00BC3FB3"/>
    <w:rsid w:val="00BC4304"/>
    <w:rsid w:val="00BC48BF"/>
    <w:rsid w:val="00BC4993"/>
    <w:rsid w:val="00BC4CAA"/>
    <w:rsid w:val="00BC4E05"/>
    <w:rsid w:val="00BC504C"/>
    <w:rsid w:val="00BC548D"/>
    <w:rsid w:val="00BC5516"/>
    <w:rsid w:val="00BC5572"/>
    <w:rsid w:val="00BC5A34"/>
    <w:rsid w:val="00BC5D54"/>
    <w:rsid w:val="00BC650E"/>
    <w:rsid w:val="00BC65D0"/>
    <w:rsid w:val="00BC68A1"/>
    <w:rsid w:val="00BC6B09"/>
    <w:rsid w:val="00BC6F2B"/>
    <w:rsid w:val="00BC6F6F"/>
    <w:rsid w:val="00BC7825"/>
    <w:rsid w:val="00BC7B51"/>
    <w:rsid w:val="00BD0876"/>
    <w:rsid w:val="00BD0CD5"/>
    <w:rsid w:val="00BD213B"/>
    <w:rsid w:val="00BD2E09"/>
    <w:rsid w:val="00BD30F4"/>
    <w:rsid w:val="00BD363B"/>
    <w:rsid w:val="00BD40A6"/>
    <w:rsid w:val="00BD41E3"/>
    <w:rsid w:val="00BD4315"/>
    <w:rsid w:val="00BD4C9B"/>
    <w:rsid w:val="00BD5E09"/>
    <w:rsid w:val="00BD62C7"/>
    <w:rsid w:val="00BD6387"/>
    <w:rsid w:val="00BD65BB"/>
    <w:rsid w:val="00BD65DD"/>
    <w:rsid w:val="00BD6A1C"/>
    <w:rsid w:val="00BD6C5D"/>
    <w:rsid w:val="00BD704A"/>
    <w:rsid w:val="00BD7053"/>
    <w:rsid w:val="00BD751E"/>
    <w:rsid w:val="00BD7C11"/>
    <w:rsid w:val="00BD7CE2"/>
    <w:rsid w:val="00BD7DB5"/>
    <w:rsid w:val="00BE0313"/>
    <w:rsid w:val="00BE03D7"/>
    <w:rsid w:val="00BE05B2"/>
    <w:rsid w:val="00BE07D5"/>
    <w:rsid w:val="00BE0AE4"/>
    <w:rsid w:val="00BE12BA"/>
    <w:rsid w:val="00BE17C3"/>
    <w:rsid w:val="00BE1851"/>
    <w:rsid w:val="00BE20CF"/>
    <w:rsid w:val="00BE223E"/>
    <w:rsid w:val="00BE307E"/>
    <w:rsid w:val="00BE329F"/>
    <w:rsid w:val="00BE36CC"/>
    <w:rsid w:val="00BE396A"/>
    <w:rsid w:val="00BE3B0E"/>
    <w:rsid w:val="00BE4355"/>
    <w:rsid w:val="00BE467D"/>
    <w:rsid w:val="00BE477B"/>
    <w:rsid w:val="00BE4A94"/>
    <w:rsid w:val="00BE508F"/>
    <w:rsid w:val="00BE53C7"/>
    <w:rsid w:val="00BE54F0"/>
    <w:rsid w:val="00BE57F4"/>
    <w:rsid w:val="00BE60BE"/>
    <w:rsid w:val="00BE6102"/>
    <w:rsid w:val="00BE620C"/>
    <w:rsid w:val="00BE63AD"/>
    <w:rsid w:val="00BE68E6"/>
    <w:rsid w:val="00BE6A67"/>
    <w:rsid w:val="00BE6DDD"/>
    <w:rsid w:val="00BE77B7"/>
    <w:rsid w:val="00BE7E98"/>
    <w:rsid w:val="00BF02AF"/>
    <w:rsid w:val="00BF03E2"/>
    <w:rsid w:val="00BF04F9"/>
    <w:rsid w:val="00BF0F36"/>
    <w:rsid w:val="00BF0FF7"/>
    <w:rsid w:val="00BF1A2A"/>
    <w:rsid w:val="00BF1BAD"/>
    <w:rsid w:val="00BF1D2B"/>
    <w:rsid w:val="00BF1E72"/>
    <w:rsid w:val="00BF26C8"/>
    <w:rsid w:val="00BF271B"/>
    <w:rsid w:val="00BF29BD"/>
    <w:rsid w:val="00BF311D"/>
    <w:rsid w:val="00BF34EB"/>
    <w:rsid w:val="00BF38CF"/>
    <w:rsid w:val="00BF3BF5"/>
    <w:rsid w:val="00BF3EF3"/>
    <w:rsid w:val="00BF3F55"/>
    <w:rsid w:val="00BF4512"/>
    <w:rsid w:val="00BF4772"/>
    <w:rsid w:val="00BF5276"/>
    <w:rsid w:val="00BF564A"/>
    <w:rsid w:val="00BF580E"/>
    <w:rsid w:val="00BF588E"/>
    <w:rsid w:val="00BF5C26"/>
    <w:rsid w:val="00BF5E98"/>
    <w:rsid w:val="00BF5FE9"/>
    <w:rsid w:val="00BF6763"/>
    <w:rsid w:val="00BF70A6"/>
    <w:rsid w:val="00BF7193"/>
    <w:rsid w:val="00BF71B5"/>
    <w:rsid w:val="00BF797E"/>
    <w:rsid w:val="00C000A8"/>
    <w:rsid w:val="00C003EB"/>
    <w:rsid w:val="00C00A53"/>
    <w:rsid w:val="00C00FD5"/>
    <w:rsid w:val="00C01318"/>
    <w:rsid w:val="00C01A7F"/>
    <w:rsid w:val="00C01B2B"/>
    <w:rsid w:val="00C01D6A"/>
    <w:rsid w:val="00C01FAE"/>
    <w:rsid w:val="00C0216B"/>
    <w:rsid w:val="00C0296F"/>
    <w:rsid w:val="00C02CAA"/>
    <w:rsid w:val="00C02FAD"/>
    <w:rsid w:val="00C030E6"/>
    <w:rsid w:val="00C03156"/>
    <w:rsid w:val="00C03270"/>
    <w:rsid w:val="00C0367E"/>
    <w:rsid w:val="00C036CE"/>
    <w:rsid w:val="00C0373B"/>
    <w:rsid w:val="00C038E1"/>
    <w:rsid w:val="00C043D9"/>
    <w:rsid w:val="00C04569"/>
    <w:rsid w:val="00C04A41"/>
    <w:rsid w:val="00C04E50"/>
    <w:rsid w:val="00C0569B"/>
    <w:rsid w:val="00C05848"/>
    <w:rsid w:val="00C069A0"/>
    <w:rsid w:val="00C06D63"/>
    <w:rsid w:val="00C070E1"/>
    <w:rsid w:val="00C073B1"/>
    <w:rsid w:val="00C07876"/>
    <w:rsid w:val="00C07F61"/>
    <w:rsid w:val="00C10184"/>
    <w:rsid w:val="00C1076B"/>
    <w:rsid w:val="00C107D2"/>
    <w:rsid w:val="00C1099D"/>
    <w:rsid w:val="00C10EF8"/>
    <w:rsid w:val="00C10F46"/>
    <w:rsid w:val="00C112D2"/>
    <w:rsid w:val="00C1153E"/>
    <w:rsid w:val="00C115A7"/>
    <w:rsid w:val="00C11B22"/>
    <w:rsid w:val="00C12641"/>
    <w:rsid w:val="00C12D9C"/>
    <w:rsid w:val="00C12DD8"/>
    <w:rsid w:val="00C132A2"/>
    <w:rsid w:val="00C136E7"/>
    <w:rsid w:val="00C13B42"/>
    <w:rsid w:val="00C13ECA"/>
    <w:rsid w:val="00C1515A"/>
    <w:rsid w:val="00C153B6"/>
    <w:rsid w:val="00C1570F"/>
    <w:rsid w:val="00C1594A"/>
    <w:rsid w:val="00C15964"/>
    <w:rsid w:val="00C159C9"/>
    <w:rsid w:val="00C15A07"/>
    <w:rsid w:val="00C15B08"/>
    <w:rsid w:val="00C15BCA"/>
    <w:rsid w:val="00C15E49"/>
    <w:rsid w:val="00C171CA"/>
    <w:rsid w:val="00C177EB"/>
    <w:rsid w:val="00C178CD"/>
    <w:rsid w:val="00C17CAB"/>
    <w:rsid w:val="00C20AE1"/>
    <w:rsid w:val="00C20D27"/>
    <w:rsid w:val="00C210EC"/>
    <w:rsid w:val="00C2143D"/>
    <w:rsid w:val="00C2152E"/>
    <w:rsid w:val="00C21BE4"/>
    <w:rsid w:val="00C21C47"/>
    <w:rsid w:val="00C21CDF"/>
    <w:rsid w:val="00C222CC"/>
    <w:rsid w:val="00C22B68"/>
    <w:rsid w:val="00C22F7D"/>
    <w:rsid w:val="00C23031"/>
    <w:rsid w:val="00C233C5"/>
    <w:rsid w:val="00C235EB"/>
    <w:rsid w:val="00C238F1"/>
    <w:rsid w:val="00C23ED5"/>
    <w:rsid w:val="00C2414D"/>
    <w:rsid w:val="00C24599"/>
    <w:rsid w:val="00C24F57"/>
    <w:rsid w:val="00C25096"/>
    <w:rsid w:val="00C25128"/>
    <w:rsid w:val="00C252DC"/>
    <w:rsid w:val="00C257A9"/>
    <w:rsid w:val="00C2607C"/>
    <w:rsid w:val="00C266A9"/>
    <w:rsid w:val="00C26843"/>
    <w:rsid w:val="00C26E98"/>
    <w:rsid w:val="00C27422"/>
    <w:rsid w:val="00C275FE"/>
    <w:rsid w:val="00C277A9"/>
    <w:rsid w:val="00C27FEC"/>
    <w:rsid w:val="00C30305"/>
    <w:rsid w:val="00C30EAA"/>
    <w:rsid w:val="00C31369"/>
    <w:rsid w:val="00C31391"/>
    <w:rsid w:val="00C31554"/>
    <w:rsid w:val="00C31C9D"/>
    <w:rsid w:val="00C31E1E"/>
    <w:rsid w:val="00C3207C"/>
    <w:rsid w:val="00C3222B"/>
    <w:rsid w:val="00C33589"/>
    <w:rsid w:val="00C336C7"/>
    <w:rsid w:val="00C33701"/>
    <w:rsid w:val="00C33CC4"/>
    <w:rsid w:val="00C34364"/>
    <w:rsid w:val="00C346F7"/>
    <w:rsid w:val="00C35289"/>
    <w:rsid w:val="00C35379"/>
    <w:rsid w:val="00C353FD"/>
    <w:rsid w:val="00C35883"/>
    <w:rsid w:val="00C36B54"/>
    <w:rsid w:val="00C36F81"/>
    <w:rsid w:val="00C3712C"/>
    <w:rsid w:val="00C37716"/>
    <w:rsid w:val="00C379D8"/>
    <w:rsid w:val="00C37ABA"/>
    <w:rsid w:val="00C37BC0"/>
    <w:rsid w:val="00C402C7"/>
    <w:rsid w:val="00C403BB"/>
    <w:rsid w:val="00C4099F"/>
    <w:rsid w:val="00C40B6D"/>
    <w:rsid w:val="00C41EC2"/>
    <w:rsid w:val="00C420AB"/>
    <w:rsid w:val="00C42517"/>
    <w:rsid w:val="00C42685"/>
    <w:rsid w:val="00C42739"/>
    <w:rsid w:val="00C4274A"/>
    <w:rsid w:val="00C42A06"/>
    <w:rsid w:val="00C42D1B"/>
    <w:rsid w:val="00C430C9"/>
    <w:rsid w:val="00C4310E"/>
    <w:rsid w:val="00C43225"/>
    <w:rsid w:val="00C43510"/>
    <w:rsid w:val="00C4382C"/>
    <w:rsid w:val="00C44076"/>
    <w:rsid w:val="00C447D3"/>
    <w:rsid w:val="00C4515C"/>
    <w:rsid w:val="00C455F2"/>
    <w:rsid w:val="00C45C29"/>
    <w:rsid w:val="00C468F2"/>
    <w:rsid w:val="00C47084"/>
    <w:rsid w:val="00C47399"/>
    <w:rsid w:val="00C47979"/>
    <w:rsid w:val="00C50016"/>
    <w:rsid w:val="00C500C1"/>
    <w:rsid w:val="00C5054A"/>
    <w:rsid w:val="00C50B60"/>
    <w:rsid w:val="00C5124C"/>
    <w:rsid w:val="00C51E1F"/>
    <w:rsid w:val="00C51F8B"/>
    <w:rsid w:val="00C52073"/>
    <w:rsid w:val="00C52207"/>
    <w:rsid w:val="00C522AA"/>
    <w:rsid w:val="00C52382"/>
    <w:rsid w:val="00C5250A"/>
    <w:rsid w:val="00C526C0"/>
    <w:rsid w:val="00C531FE"/>
    <w:rsid w:val="00C53740"/>
    <w:rsid w:val="00C5377F"/>
    <w:rsid w:val="00C541A0"/>
    <w:rsid w:val="00C541B7"/>
    <w:rsid w:val="00C5457C"/>
    <w:rsid w:val="00C54657"/>
    <w:rsid w:val="00C55202"/>
    <w:rsid w:val="00C554BD"/>
    <w:rsid w:val="00C5588B"/>
    <w:rsid w:val="00C55C27"/>
    <w:rsid w:val="00C562FA"/>
    <w:rsid w:val="00C569AD"/>
    <w:rsid w:val="00C56C60"/>
    <w:rsid w:val="00C56DBF"/>
    <w:rsid w:val="00C56F8E"/>
    <w:rsid w:val="00C573C0"/>
    <w:rsid w:val="00C57D94"/>
    <w:rsid w:val="00C57E95"/>
    <w:rsid w:val="00C6039A"/>
    <w:rsid w:val="00C60D78"/>
    <w:rsid w:val="00C617AC"/>
    <w:rsid w:val="00C62609"/>
    <w:rsid w:val="00C62A8A"/>
    <w:rsid w:val="00C62E03"/>
    <w:rsid w:val="00C63119"/>
    <w:rsid w:val="00C6339C"/>
    <w:rsid w:val="00C636CC"/>
    <w:rsid w:val="00C64131"/>
    <w:rsid w:val="00C645A5"/>
    <w:rsid w:val="00C64891"/>
    <w:rsid w:val="00C65459"/>
    <w:rsid w:val="00C65609"/>
    <w:rsid w:val="00C658A0"/>
    <w:rsid w:val="00C658F4"/>
    <w:rsid w:val="00C659ED"/>
    <w:rsid w:val="00C668D8"/>
    <w:rsid w:val="00C6690C"/>
    <w:rsid w:val="00C66E7E"/>
    <w:rsid w:val="00C67BB7"/>
    <w:rsid w:val="00C67BC6"/>
    <w:rsid w:val="00C67EDC"/>
    <w:rsid w:val="00C67F20"/>
    <w:rsid w:val="00C7061D"/>
    <w:rsid w:val="00C70CBC"/>
    <w:rsid w:val="00C70F07"/>
    <w:rsid w:val="00C710FF"/>
    <w:rsid w:val="00C71174"/>
    <w:rsid w:val="00C71591"/>
    <w:rsid w:val="00C716F2"/>
    <w:rsid w:val="00C7214B"/>
    <w:rsid w:val="00C72309"/>
    <w:rsid w:val="00C7235D"/>
    <w:rsid w:val="00C72ADE"/>
    <w:rsid w:val="00C72B36"/>
    <w:rsid w:val="00C73356"/>
    <w:rsid w:val="00C73DD0"/>
    <w:rsid w:val="00C74207"/>
    <w:rsid w:val="00C7495F"/>
    <w:rsid w:val="00C74995"/>
    <w:rsid w:val="00C74C23"/>
    <w:rsid w:val="00C74EC9"/>
    <w:rsid w:val="00C74EDD"/>
    <w:rsid w:val="00C75220"/>
    <w:rsid w:val="00C756A7"/>
    <w:rsid w:val="00C75E05"/>
    <w:rsid w:val="00C764B0"/>
    <w:rsid w:val="00C76EB6"/>
    <w:rsid w:val="00C7703F"/>
    <w:rsid w:val="00C7707D"/>
    <w:rsid w:val="00C77594"/>
    <w:rsid w:val="00C77F14"/>
    <w:rsid w:val="00C804EC"/>
    <w:rsid w:val="00C80724"/>
    <w:rsid w:val="00C808EB"/>
    <w:rsid w:val="00C818EC"/>
    <w:rsid w:val="00C81E1B"/>
    <w:rsid w:val="00C82805"/>
    <w:rsid w:val="00C82F9D"/>
    <w:rsid w:val="00C8363A"/>
    <w:rsid w:val="00C838CA"/>
    <w:rsid w:val="00C85343"/>
    <w:rsid w:val="00C85810"/>
    <w:rsid w:val="00C85868"/>
    <w:rsid w:val="00C85CA1"/>
    <w:rsid w:val="00C866BD"/>
    <w:rsid w:val="00C86775"/>
    <w:rsid w:val="00C86A03"/>
    <w:rsid w:val="00C86C78"/>
    <w:rsid w:val="00C871DA"/>
    <w:rsid w:val="00C874DE"/>
    <w:rsid w:val="00C87C7A"/>
    <w:rsid w:val="00C87E2C"/>
    <w:rsid w:val="00C87F30"/>
    <w:rsid w:val="00C900E5"/>
    <w:rsid w:val="00C90432"/>
    <w:rsid w:val="00C906B3"/>
    <w:rsid w:val="00C9085C"/>
    <w:rsid w:val="00C90D55"/>
    <w:rsid w:val="00C90F99"/>
    <w:rsid w:val="00C91F3C"/>
    <w:rsid w:val="00C92186"/>
    <w:rsid w:val="00C92BF4"/>
    <w:rsid w:val="00C92BF8"/>
    <w:rsid w:val="00C92DF0"/>
    <w:rsid w:val="00C92DF7"/>
    <w:rsid w:val="00C9318D"/>
    <w:rsid w:val="00C938A6"/>
    <w:rsid w:val="00C938F1"/>
    <w:rsid w:val="00C93A33"/>
    <w:rsid w:val="00C942F0"/>
    <w:rsid w:val="00C94AFD"/>
    <w:rsid w:val="00C94FB2"/>
    <w:rsid w:val="00C95082"/>
    <w:rsid w:val="00C95F26"/>
    <w:rsid w:val="00C9664A"/>
    <w:rsid w:val="00C967F8"/>
    <w:rsid w:val="00C976F0"/>
    <w:rsid w:val="00C97AC4"/>
    <w:rsid w:val="00C97CB9"/>
    <w:rsid w:val="00CA07E1"/>
    <w:rsid w:val="00CA0BB7"/>
    <w:rsid w:val="00CA0E09"/>
    <w:rsid w:val="00CA1497"/>
    <w:rsid w:val="00CA16FC"/>
    <w:rsid w:val="00CA181D"/>
    <w:rsid w:val="00CA1C53"/>
    <w:rsid w:val="00CA1DC6"/>
    <w:rsid w:val="00CA1E0B"/>
    <w:rsid w:val="00CA249B"/>
    <w:rsid w:val="00CA2742"/>
    <w:rsid w:val="00CA2B24"/>
    <w:rsid w:val="00CA34C1"/>
    <w:rsid w:val="00CA391B"/>
    <w:rsid w:val="00CA3B49"/>
    <w:rsid w:val="00CA3F6F"/>
    <w:rsid w:val="00CA4271"/>
    <w:rsid w:val="00CA43CF"/>
    <w:rsid w:val="00CA4749"/>
    <w:rsid w:val="00CA4A38"/>
    <w:rsid w:val="00CA4C1A"/>
    <w:rsid w:val="00CA50BB"/>
    <w:rsid w:val="00CA54A3"/>
    <w:rsid w:val="00CA5D75"/>
    <w:rsid w:val="00CA601E"/>
    <w:rsid w:val="00CA649B"/>
    <w:rsid w:val="00CA6A18"/>
    <w:rsid w:val="00CA6A39"/>
    <w:rsid w:val="00CA7137"/>
    <w:rsid w:val="00CA7561"/>
    <w:rsid w:val="00CA7573"/>
    <w:rsid w:val="00CA7CD3"/>
    <w:rsid w:val="00CA7CE1"/>
    <w:rsid w:val="00CA7D51"/>
    <w:rsid w:val="00CA7DF7"/>
    <w:rsid w:val="00CB081B"/>
    <w:rsid w:val="00CB0B10"/>
    <w:rsid w:val="00CB0CB7"/>
    <w:rsid w:val="00CB13A5"/>
    <w:rsid w:val="00CB1A17"/>
    <w:rsid w:val="00CB1A5D"/>
    <w:rsid w:val="00CB1C74"/>
    <w:rsid w:val="00CB264B"/>
    <w:rsid w:val="00CB290D"/>
    <w:rsid w:val="00CB3E47"/>
    <w:rsid w:val="00CB3E51"/>
    <w:rsid w:val="00CB45C3"/>
    <w:rsid w:val="00CB4902"/>
    <w:rsid w:val="00CB4F4D"/>
    <w:rsid w:val="00CB525F"/>
    <w:rsid w:val="00CB5477"/>
    <w:rsid w:val="00CB58F8"/>
    <w:rsid w:val="00CB5A61"/>
    <w:rsid w:val="00CB5A80"/>
    <w:rsid w:val="00CB5FB9"/>
    <w:rsid w:val="00CB608F"/>
    <w:rsid w:val="00CB6141"/>
    <w:rsid w:val="00CB62CB"/>
    <w:rsid w:val="00CB6ABA"/>
    <w:rsid w:val="00CB6C89"/>
    <w:rsid w:val="00CB6E58"/>
    <w:rsid w:val="00CB701C"/>
    <w:rsid w:val="00CB7268"/>
    <w:rsid w:val="00CB7350"/>
    <w:rsid w:val="00CB7481"/>
    <w:rsid w:val="00CB7588"/>
    <w:rsid w:val="00CB78AD"/>
    <w:rsid w:val="00CB7E55"/>
    <w:rsid w:val="00CC05D7"/>
    <w:rsid w:val="00CC097D"/>
    <w:rsid w:val="00CC0B9D"/>
    <w:rsid w:val="00CC101E"/>
    <w:rsid w:val="00CC1136"/>
    <w:rsid w:val="00CC11FD"/>
    <w:rsid w:val="00CC1331"/>
    <w:rsid w:val="00CC166A"/>
    <w:rsid w:val="00CC17BE"/>
    <w:rsid w:val="00CC1A41"/>
    <w:rsid w:val="00CC28FE"/>
    <w:rsid w:val="00CC2913"/>
    <w:rsid w:val="00CC2A50"/>
    <w:rsid w:val="00CC2B5F"/>
    <w:rsid w:val="00CC2D8D"/>
    <w:rsid w:val="00CC2F0C"/>
    <w:rsid w:val="00CC3394"/>
    <w:rsid w:val="00CC3547"/>
    <w:rsid w:val="00CC390D"/>
    <w:rsid w:val="00CC3C30"/>
    <w:rsid w:val="00CC421C"/>
    <w:rsid w:val="00CC438F"/>
    <w:rsid w:val="00CC43E6"/>
    <w:rsid w:val="00CC44F3"/>
    <w:rsid w:val="00CC5108"/>
    <w:rsid w:val="00CC5BC2"/>
    <w:rsid w:val="00CC6057"/>
    <w:rsid w:val="00CC6BF4"/>
    <w:rsid w:val="00CC6E66"/>
    <w:rsid w:val="00CC7763"/>
    <w:rsid w:val="00CC7CFA"/>
    <w:rsid w:val="00CD090F"/>
    <w:rsid w:val="00CD1149"/>
    <w:rsid w:val="00CD1967"/>
    <w:rsid w:val="00CD1C32"/>
    <w:rsid w:val="00CD2425"/>
    <w:rsid w:val="00CD2774"/>
    <w:rsid w:val="00CD2E2C"/>
    <w:rsid w:val="00CD332F"/>
    <w:rsid w:val="00CD36A6"/>
    <w:rsid w:val="00CD373E"/>
    <w:rsid w:val="00CD383F"/>
    <w:rsid w:val="00CD3AED"/>
    <w:rsid w:val="00CD3CA9"/>
    <w:rsid w:val="00CD4A6E"/>
    <w:rsid w:val="00CD4A8B"/>
    <w:rsid w:val="00CD4EBB"/>
    <w:rsid w:val="00CD506F"/>
    <w:rsid w:val="00CD5926"/>
    <w:rsid w:val="00CD5D97"/>
    <w:rsid w:val="00CD60D0"/>
    <w:rsid w:val="00CD6395"/>
    <w:rsid w:val="00CD68AA"/>
    <w:rsid w:val="00CD6C49"/>
    <w:rsid w:val="00CD6CC2"/>
    <w:rsid w:val="00CD6F1D"/>
    <w:rsid w:val="00CD70A2"/>
    <w:rsid w:val="00CD70D7"/>
    <w:rsid w:val="00CD7405"/>
    <w:rsid w:val="00CD7614"/>
    <w:rsid w:val="00CD788A"/>
    <w:rsid w:val="00CD78CC"/>
    <w:rsid w:val="00CE0035"/>
    <w:rsid w:val="00CE044B"/>
    <w:rsid w:val="00CE0822"/>
    <w:rsid w:val="00CE0832"/>
    <w:rsid w:val="00CE0E63"/>
    <w:rsid w:val="00CE1020"/>
    <w:rsid w:val="00CE10E8"/>
    <w:rsid w:val="00CE1334"/>
    <w:rsid w:val="00CE1783"/>
    <w:rsid w:val="00CE231B"/>
    <w:rsid w:val="00CE243C"/>
    <w:rsid w:val="00CE299D"/>
    <w:rsid w:val="00CE305F"/>
    <w:rsid w:val="00CE3460"/>
    <w:rsid w:val="00CE35CB"/>
    <w:rsid w:val="00CE3AF3"/>
    <w:rsid w:val="00CE4121"/>
    <w:rsid w:val="00CE46EA"/>
    <w:rsid w:val="00CE49AC"/>
    <w:rsid w:val="00CE4C69"/>
    <w:rsid w:val="00CE4EA0"/>
    <w:rsid w:val="00CE5280"/>
    <w:rsid w:val="00CE5EFB"/>
    <w:rsid w:val="00CE5F6B"/>
    <w:rsid w:val="00CE63D1"/>
    <w:rsid w:val="00CE6602"/>
    <w:rsid w:val="00CE6B8F"/>
    <w:rsid w:val="00CE6BE2"/>
    <w:rsid w:val="00CE6C74"/>
    <w:rsid w:val="00CE6D66"/>
    <w:rsid w:val="00CE78A1"/>
    <w:rsid w:val="00CE7CB4"/>
    <w:rsid w:val="00CE7D56"/>
    <w:rsid w:val="00CE7F4B"/>
    <w:rsid w:val="00CE7FB2"/>
    <w:rsid w:val="00CF00B6"/>
    <w:rsid w:val="00CF0CC5"/>
    <w:rsid w:val="00CF107A"/>
    <w:rsid w:val="00CF13F7"/>
    <w:rsid w:val="00CF1690"/>
    <w:rsid w:val="00CF1BF1"/>
    <w:rsid w:val="00CF1F84"/>
    <w:rsid w:val="00CF1FB2"/>
    <w:rsid w:val="00CF30C7"/>
    <w:rsid w:val="00CF37DA"/>
    <w:rsid w:val="00CF3ECD"/>
    <w:rsid w:val="00CF3F9B"/>
    <w:rsid w:val="00CF4114"/>
    <w:rsid w:val="00CF4302"/>
    <w:rsid w:val="00CF46A1"/>
    <w:rsid w:val="00CF47FB"/>
    <w:rsid w:val="00CF498C"/>
    <w:rsid w:val="00CF4C24"/>
    <w:rsid w:val="00CF4CD5"/>
    <w:rsid w:val="00CF6EFC"/>
    <w:rsid w:val="00CF7260"/>
    <w:rsid w:val="00CF7628"/>
    <w:rsid w:val="00CF79E9"/>
    <w:rsid w:val="00D001D7"/>
    <w:rsid w:val="00D005B3"/>
    <w:rsid w:val="00D00D0A"/>
    <w:rsid w:val="00D0103A"/>
    <w:rsid w:val="00D01799"/>
    <w:rsid w:val="00D02260"/>
    <w:rsid w:val="00D02BB2"/>
    <w:rsid w:val="00D03141"/>
    <w:rsid w:val="00D03DE1"/>
    <w:rsid w:val="00D03EF0"/>
    <w:rsid w:val="00D04026"/>
    <w:rsid w:val="00D04561"/>
    <w:rsid w:val="00D04B7D"/>
    <w:rsid w:val="00D050AB"/>
    <w:rsid w:val="00D06223"/>
    <w:rsid w:val="00D0633C"/>
    <w:rsid w:val="00D06605"/>
    <w:rsid w:val="00D0686D"/>
    <w:rsid w:val="00D06F35"/>
    <w:rsid w:val="00D06FE7"/>
    <w:rsid w:val="00D07448"/>
    <w:rsid w:val="00D07689"/>
    <w:rsid w:val="00D0768B"/>
    <w:rsid w:val="00D077AF"/>
    <w:rsid w:val="00D079D4"/>
    <w:rsid w:val="00D11D82"/>
    <w:rsid w:val="00D1240E"/>
    <w:rsid w:val="00D1248B"/>
    <w:rsid w:val="00D129F7"/>
    <w:rsid w:val="00D13D37"/>
    <w:rsid w:val="00D13EDC"/>
    <w:rsid w:val="00D1405F"/>
    <w:rsid w:val="00D14529"/>
    <w:rsid w:val="00D14620"/>
    <w:rsid w:val="00D14E9D"/>
    <w:rsid w:val="00D150C7"/>
    <w:rsid w:val="00D15322"/>
    <w:rsid w:val="00D154D8"/>
    <w:rsid w:val="00D15C42"/>
    <w:rsid w:val="00D15C9B"/>
    <w:rsid w:val="00D15EFE"/>
    <w:rsid w:val="00D16570"/>
    <w:rsid w:val="00D16CAC"/>
    <w:rsid w:val="00D16D10"/>
    <w:rsid w:val="00D16FB0"/>
    <w:rsid w:val="00D17029"/>
    <w:rsid w:val="00D20D31"/>
    <w:rsid w:val="00D20FC7"/>
    <w:rsid w:val="00D21294"/>
    <w:rsid w:val="00D21430"/>
    <w:rsid w:val="00D21923"/>
    <w:rsid w:val="00D21D84"/>
    <w:rsid w:val="00D21F2C"/>
    <w:rsid w:val="00D2238A"/>
    <w:rsid w:val="00D22709"/>
    <w:rsid w:val="00D2292B"/>
    <w:rsid w:val="00D2304B"/>
    <w:rsid w:val="00D23A75"/>
    <w:rsid w:val="00D241CE"/>
    <w:rsid w:val="00D2487A"/>
    <w:rsid w:val="00D24982"/>
    <w:rsid w:val="00D24F74"/>
    <w:rsid w:val="00D25069"/>
    <w:rsid w:val="00D25159"/>
    <w:rsid w:val="00D252CF"/>
    <w:rsid w:val="00D25697"/>
    <w:rsid w:val="00D256C0"/>
    <w:rsid w:val="00D2593B"/>
    <w:rsid w:val="00D25F14"/>
    <w:rsid w:val="00D2626B"/>
    <w:rsid w:val="00D26334"/>
    <w:rsid w:val="00D26433"/>
    <w:rsid w:val="00D26B35"/>
    <w:rsid w:val="00D2796A"/>
    <w:rsid w:val="00D27994"/>
    <w:rsid w:val="00D27C36"/>
    <w:rsid w:val="00D30746"/>
    <w:rsid w:val="00D30F1B"/>
    <w:rsid w:val="00D310C2"/>
    <w:rsid w:val="00D331AF"/>
    <w:rsid w:val="00D33A1E"/>
    <w:rsid w:val="00D33DD9"/>
    <w:rsid w:val="00D34280"/>
    <w:rsid w:val="00D345DA"/>
    <w:rsid w:val="00D34655"/>
    <w:rsid w:val="00D35008"/>
    <w:rsid w:val="00D35359"/>
    <w:rsid w:val="00D35527"/>
    <w:rsid w:val="00D36027"/>
    <w:rsid w:val="00D361A1"/>
    <w:rsid w:val="00D3636C"/>
    <w:rsid w:val="00D37586"/>
    <w:rsid w:val="00D37673"/>
    <w:rsid w:val="00D37735"/>
    <w:rsid w:val="00D37997"/>
    <w:rsid w:val="00D37A46"/>
    <w:rsid w:val="00D37CAD"/>
    <w:rsid w:val="00D37CD2"/>
    <w:rsid w:val="00D401E7"/>
    <w:rsid w:val="00D40284"/>
    <w:rsid w:val="00D40589"/>
    <w:rsid w:val="00D40623"/>
    <w:rsid w:val="00D40633"/>
    <w:rsid w:val="00D413D7"/>
    <w:rsid w:val="00D41433"/>
    <w:rsid w:val="00D414BB"/>
    <w:rsid w:val="00D41641"/>
    <w:rsid w:val="00D41688"/>
    <w:rsid w:val="00D41DD8"/>
    <w:rsid w:val="00D42555"/>
    <w:rsid w:val="00D425F7"/>
    <w:rsid w:val="00D4266E"/>
    <w:rsid w:val="00D429C9"/>
    <w:rsid w:val="00D42C33"/>
    <w:rsid w:val="00D4324B"/>
    <w:rsid w:val="00D4376E"/>
    <w:rsid w:val="00D44073"/>
    <w:rsid w:val="00D4460B"/>
    <w:rsid w:val="00D4473A"/>
    <w:rsid w:val="00D44908"/>
    <w:rsid w:val="00D44CAF"/>
    <w:rsid w:val="00D44F75"/>
    <w:rsid w:val="00D44FEA"/>
    <w:rsid w:val="00D45206"/>
    <w:rsid w:val="00D45211"/>
    <w:rsid w:val="00D45DED"/>
    <w:rsid w:val="00D4606C"/>
    <w:rsid w:val="00D46209"/>
    <w:rsid w:val="00D4626B"/>
    <w:rsid w:val="00D46EC1"/>
    <w:rsid w:val="00D479A5"/>
    <w:rsid w:val="00D47A0F"/>
    <w:rsid w:val="00D47C15"/>
    <w:rsid w:val="00D47C9C"/>
    <w:rsid w:val="00D5029D"/>
    <w:rsid w:val="00D50322"/>
    <w:rsid w:val="00D5077C"/>
    <w:rsid w:val="00D51137"/>
    <w:rsid w:val="00D511B5"/>
    <w:rsid w:val="00D51637"/>
    <w:rsid w:val="00D518F1"/>
    <w:rsid w:val="00D520C5"/>
    <w:rsid w:val="00D525DB"/>
    <w:rsid w:val="00D528FA"/>
    <w:rsid w:val="00D52B23"/>
    <w:rsid w:val="00D52BCF"/>
    <w:rsid w:val="00D52D35"/>
    <w:rsid w:val="00D530CE"/>
    <w:rsid w:val="00D53344"/>
    <w:rsid w:val="00D53460"/>
    <w:rsid w:val="00D534CD"/>
    <w:rsid w:val="00D536EC"/>
    <w:rsid w:val="00D5381D"/>
    <w:rsid w:val="00D53B53"/>
    <w:rsid w:val="00D53CAE"/>
    <w:rsid w:val="00D53D7C"/>
    <w:rsid w:val="00D53FB9"/>
    <w:rsid w:val="00D53FCB"/>
    <w:rsid w:val="00D54622"/>
    <w:rsid w:val="00D5463C"/>
    <w:rsid w:val="00D54ECD"/>
    <w:rsid w:val="00D54F1C"/>
    <w:rsid w:val="00D55629"/>
    <w:rsid w:val="00D5573D"/>
    <w:rsid w:val="00D55850"/>
    <w:rsid w:val="00D5585F"/>
    <w:rsid w:val="00D55C97"/>
    <w:rsid w:val="00D5617D"/>
    <w:rsid w:val="00D5686D"/>
    <w:rsid w:val="00D56888"/>
    <w:rsid w:val="00D56BD0"/>
    <w:rsid w:val="00D57434"/>
    <w:rsid w:val="00D5762A"/>
    <w:rsid w:val="00D57B39"/>
    <w:rsid w:val="00D57D51"/>
    <w:rsid w:val="00D57E1C"/>
    <w:rsid w:val="00D602C0"/>
    <w:rsid w:val="00D6041A"/>
    <w:rsid w:val="00D60669"/>
    <w:rsid w:val="00D6085C"/>
    <w:rsid w:val="00D60E45"/>
    <w:rsid w:val="00D61000"/>
    <w:rsid w:val="00D6101D"/>
    <w:rsid w:val="00D6144A"/>
    <w:rsid w:val="00D61B91"/>
    <w:rsid w:val="00D61C5D"/>
    <w:rsid w:val="00D61CF0"/>
    <w:rsid w:val="00D61E90"/>
    <w:rsid w:val="00D61EEC"/>
    <w:rsid w:val="00D62726"/>
    <w:rsid w:val="00D62995"/>
    <w:rsid w:val="00D62DC0"/>
    <w:rsid w:val="00D62DDD"/>
    <w:rsid w:val="00D63069"/>
    <w:rsid w:val="00D634A8"/>
    <w:rsid w:val="00D63EBF"/>
    <w:rsid w:val="00D643FB"/>
    <w:rsid w:val="00D64474"/>
    <w:rsid w:val="00D649C3"/>
    <w:rsid w:val="00D65597"/>
    <w:rsid w:val="00D6585F"/>
    <w:rsid w:val="00D65A85"/>
    <w:rsid w:val="00D65D29"/>
    <w:rsid w:val="00D67276"/>
    <w:rsid w:val="00D67732"/>
    <w:rsid w:val="00D70A1E"/>
    <w:rsid w:val="00D70A73"/>
    <w:rsid w:val="00D70C8D"/>
    <w:rsid w:val="00D70DCD"/>
    <w:rsid w:val="00D712DF"/>
    <w:rsid w:val="00D715E4"/>
    <w:rsid w:val="00D718A5"/>
    <w:rsid w:val="00D71B2B"/>
    <w:rsid w:val="00D71ED8"/>
    <w:rsid w:val="00D71FFB"/>
    <w:rsid w:val="00D72022"/>
    <w:rsid w:val="00D72378"/>
    <w:rsid w:val="00D72641"/>
    <w:rsid w:val="00D727C1"/>
    <w:rsid w:val="00D729E0"/>
    <w:rsid w:val="00D72EC5"/>
    <w:rsid w:val="00D730A0"/>
    <w:rsid w:val="00D7311D"/>
    <w:rsid w:val="00D73867"/>
    <w:rsid w:val="00D73B73"/>
    <w:rsid w:val="00D73ECE"/>
    <w:rsid w:val="00D7485C"/>
    <w:rsid w:val="00D74CC6"/>
    <w:rsid w:val="00D7500F"/>
    <w:rsid w:val="00D759CA"/>
    <w:rsid w:val="00D75C77"/>
    <w:rsid w:val="00D762B8"/>
    <w:rsid w:val="00D762FE"/>
    <w:rsid w:val="00D763D2"/>
    <w:rsid w:val="00D77021"/>
    <w:rsid w:val="00D77397"/>
    <w:rsid w:val="00D773EF"/>
    <w:rsid w:val="00D7740F"/>
    <w:rsid w:val="00D77BC3"/>
    <w:rsid w:val="00D77E8A"/>
    <w:rsid w:val="00D805B4"/>
    <w:rsid w:val="00D80D97"/>
    <w:rsid w:val="00D80EBF"/>
    <w:rsid w:val="00D810EB"/>
    <w:rsid w:val="00D81105"/>
    <w:rsid w:val="00D81F0A"/>
    <w:rsid w:val="00D823CC"/>
    <w:rsid w:val="00D831AA"/>
    <w:rsid w:val="00D83F88"/>
    <w:rsid w:val="00D84265"/>
    <w:rsid w:val="00D8476C"/>
    <w:rsid w:val="00D8490B"/>
    <w:rsid w:val="00D84CD1"/>
    <w:rsid w:val="00D855B9"/>
    <w:rsid w:val="00D86031"/>
    <w:rsid w:val="00D862CA"/>
    <w:rsid w:val="00D86A3E"/>
    <w:rsid w:val="00D86C41"/>
    <w:rsid w:val="00D8759C"/>
    <w:rsid w:val="00D87CBB"/>
    <w:rsid w:val="00D87D67"/>
    <w:rsid w:val="00D904ED"/>
    <w:rsid w:val="00D911BD"/>
    <w:rsid w:val="00D915EF"/>
    <w:rsid w:val="00D91A9A"/>
    <w:rsid w:val="00D9215E"/>
    <w:rsid w:val="00D9263D"/>
    <w:rsid w:val="00D935A0"/>
    <w:rsid w:val="00D936E9"/>
    <w:rsid w:val="00D936F1"/>
    <w:rsid w:val="00D94509"/>
    <w:rsid w:val="00D94741"/>
    <w:rsid w:val="00D94A6C"/>
    <w:rsid w:val="00D955D0"/>
    <w:rsid w:val="00D9574F"/>
    <w:rsid w:val="00D95AF1"/>
    <w:rsid w:val="00D95C8A"/>
    <w:rsid w:val="00D95D2E"/>
    <w:rsid w:val="00D9671B"/>
    <w:rsid w:val="00D979E0"/>
    <w:rsid w:val="00D97A98"/>
    <w:rsid w:val="00D97EF4"/>
    <w:rsid w:val="00DA04C1"/>
    <w:rsid w:val="00DA05F3"/>
    <w:rsid w:val="00DA0A51"/>
    <w:rsid w:val="00DA0FB5"/>
    <w:rsid w:val="00DA13AD"/>
    <w:rsid w:val="00DA17F7"/>
    <w:rsid w:val="00DA17FB"/>
    <w:rsid w:val="00DA180F"/>
    <w:rsid w:val="00DA1878"/>
    <w:rsid w:val="00DA1F1C"/>
    <w:rsid w:val="00DA22A5"/>
    <w:rsid w:val="00DA232B"/>
    <w:rsid w:val="00DA25D0"/>
    <w:rsid w:val="00DA2B29"/>
    <w:rsid w:val="00DA3293"/>
    <w:rsid w:val="00DA3372"/>
    <w:rsid w:val="00DA343C"/>
    <w:rsid w:val="00DA3E80"/>
    <w:rsid w:val="00DA3F1F"/>
    <w:rsid w:val="00DA46FA"/>
    <w:rsid w:val="00DA551A"/>
    <w:rsid w:val="00DA5851"/>
    <w:rsid w:val="00DA5917"/>
    <w:rsid w:val="00DA6276"/>
    <w:rsid w:val="00DA6885"/>
    <w:rsid w:val="00DA6A0A"/>
    <w:rsid w:val="00DA6EFE"/>
    <w:rsid w:val="00DA7898"/>
    <w:rsid w:val="00DA7B3A"/>
    <w:rsid w:val="00DA7CB9"/>
    <w:rsid w:val="00DB0052"/>
    <w:rsid w:val="00DB0206"/>
    <w:rsid w:val="00DB039C"/>
    <w:rsid w:val="00DB0FEF"/>
    <w:rsid w:val="00DB108D"/>
    <w:rsid w:val="00DB10DC"/>
    <w:rsid w:val="00DB2076"/>
    <w:rsid w:val="00DB291F"/>
    <w:rsid w:val="00DB2E6C"/>
    <w:rsid w:val="00DB3294"/>
    <w:rsid w:val="00DB3423"/>
    <w:rsid w:val="00DB39BD"/>
    <w:rsid w:val="00DB3AFE"/>
    <w:rsid w:val="00DB52DA"/>
    <w:rsid w:val="00DB530B"/>
    <w:rsid w:val="00DB5451"/>
    <w:rsid w:val="00DB5CCC"/>
    <w:rsid w:val="00DB5F16"/>
    <w:rsid w:val="00DB61D1"/>
    <w:rsid w:val="00DB62EE"/>
    <w:rsid w:val="00DB6B6D"/>
    <w:rsid w:val="00DB6C37"/>
    <w:rsid w:val="00DB6F97"/>
    <w:rsid w:val="00DB772F"/>
    <w:rsid w:val="00DB79B4"/>
    <w:rsid w:val="00DB7A88"/>
    <w:rsid w:val="00DB7C5C"/>
    <w:rsid w:val="00DB7D58"/>
    <w:rsid w:val="00DC021E"/>
    <w:rsid w:val="00DC02B1"/>
    <w:rsid w:val="00DC0822"/>
    <w:rsid w:val="00DC0A98"/>
    <w:rsid w:val="00DC0DFE"/>
    <w:rsid w:val="00DC10F6"/>
    <w:rsid w:val="00DC130E"/>
    <w:rsid w:val="00DC1CC7"/>
    <w:rsid w:val="00DC1F6C"/>
    <w:rsid w:val="00DC2010"/>
    <w:rsid w:val="00DC29C8"/>
    <w:rsid w:val="00DC2C03"/>
    <w:rsid w:val="00DC2DA1"/>
    <w:rsid w:val="00DC3273"/>
    <w:rsid w:val="00DC38DC"/>
    <w:rsid w:val="00DC407D"/>
    <w:rsid w:val="00DC5D6C"/>
    <w:rsid w:val="00DC5E95"/>
    <w:rsid w:val="00DC61D8"/>
    <w:rsid w:val="00DC62BB"/>
    <w:rsid w:val="00DC68F6"/>
    <w:rsid w:val="00DC69DB"/>
    <w:rsid w:val="00DC6B96"/>
    <w:rsid w:val="00DC7338"/>
    <w:rsid w:val="00DC7432"/>
    <w:rsid w:val="00DC7539"/>
    <w:rsid w:val="00DC7C93"/>
    <w:rsid w:val="00DD0003"/>
    <w:rsid w:val="00DD0514"/>
    <w:rsid w:val="00DD0A76"/>
    <w:rsid w:val="00DD0BAB"/>
    <w:rsid w:val="00DD1130"/>
    <w:rsid w:val="00DD13A4"/>
    <w:rsid w:val="00DD1412"/>
    <w:rsid w:val="00DD2374"/>
    <w:rsid w:val="00DD24BE"/>
    <w:rsid w:val="00DD299E"/>
    <w:rsid w:val="00DD2E9D"/>
    <w:rsid w:val="00DD3352"/>
    <w:rsid w:val="00DD3722"/>
    <w:rsid w:val="00DD3D5B"/>
    <w:rsid w:val="00DD44D0"/>
    <w:rsid w:val="00DD5208"/>
    <w:rsid w:val="00DD5293"/>
    <w:rsid w:val="00DD5337"/>
    <w:rsid w:val="00DD626F"/>
    <w:rsid w:val="00DD73D4"/>
    <w:rsid w:val="00DD7D7E"/>
    <w:rsid w:val="00DE06A7"/>
    <w:rsid w:val="00DE1CE1"/>
    <w:rsid w:val="00DE1FE9"/>
    <w:rsid w:val="00DE25CC"/>
    <w:rsid w:val="00DE2B08"/>
    <w:rsid w:val="00DE3566"/>
    <w:rsid w:val="00DE36F0"/>
    <w:rsid w:val="00DE3708"/>
    <w:rsid w:val="00DE3811"/>
    <w:rsid w:val="00DE39FD"/>
    <w:rsid w:val="00DE3C5B"/>
    <w:rsid w:val="00DE3C9C"/>
    <w:rsid w:val="00DE3D58"/>
    <w:rsid w:val="00DE401D"/>
    <w:rsid w:val="00DE51B5"/>
    <w:rsid w:val="00DE5A75"/>
    <w:rsid w:val="00DE617D"/>
    <w:rsid w:val="00DE666A"/>
    <w:rsid w:val="00DE6679"/>
    <w:rsid w:val="00DE6F89"/>
    <w:rsid w:val="00DE795F"/>
    <w:rsid w:val="00DE7B7F"/>
    <w:rsid w:val="00DE7CC8"/>
    <w:rsid w:val="00DF001B"/>
    <w:rsid w:val="00DF03EF"/>
    <w:rsid w:val="00DF0644"/>
    <w:rsid w:val="00DF09FB"/>
    <w:rsid w:val="00DF0E1A"/>
    <w:rsid w:val="00DF10D3"/>
    <w:rsid w:val="00DF1524"/>
    <w:rsid w:val="00DF1EA5"/>
    <w:rsid w:val="00DF2386"/>
    <w:rsid w:val="00DF2686"/>
    <w:rsid w:val="00DF26B6"/>
    <w:rsid w:val="00DF2A0E"/>
    <w:rsid w:val="00DF2C94"/>
    <w:rsid w:val="00DF31DA"/>
    <w:rsid w:val="00DF388B"/>
    <w:rsid w:val="00DF3B7F"/>
    <w:rsid w:val="00DF47D0"/>
    <w:rsid w:val="00DF490F"/>
    <w:rsid w:val="00DF4CB5"/>
    <w:rsid w:val="00DF4CE4"/>
    <w:rsid w:val="00DF4D13"/>
    <w:rsid w:val="00DF4D65"/>
    <w:rsid w:val="00DF5150"/>
    <w:rsid w:val="00DF5AC8"/>
    <w:rsid w:val="00DF67AC"/>
    <w:rsid w:val="00DF6963"/>
    <w:rsid w:val="00DF6BFE"/>
    <w:rsid w:val="00DF7503"/>
    <w:rsid w:val="00DF7831"/>
    <w:rsid w:val="00DF7BC6"/>
    <w:rsid w:val="00E00171"/>
    <w:rsid w:val="00E00E06"/>
    <w:rsid w:val="00E00F7F"/>
    <w:rsid w:val="00E011FA"/>
    <w:rsid w:val="00E01636"/>
    <w:rsid w:val="00E0197F"/>
    <w:rsid w:val="00E01F7C"/>
    <w:rsid w:val="00E023A5"/>
    <w:rsid w:val="00E028C6"/>
    <w:rsid w:val="00E0316D"/>
    <w:rsid w:val="00E0317E"/>
    <w:rsid w:val="00E03332"/>
    <w:rsid w:val="00E0351A"/>
    <w:rsid w:val="00E0356A"/>
    <w:rsid w:val="00E03C51"/>
    <w:rsid w:val="00E04147"/>
    <w:rsid w:val="00E04323"/>
    <w:rsid w:val="00E047E2"/>
    <w:rsid w:val="00E0515E"/>
    <w:rsid w:val="00E05835"/>
    <w:rsid w:val="00E05AF2"/>
    <w:rsid w:val="00E06A87"/>
    <w:rsid w:val="00E06E01"/>
    <w:rsid w:val="00E07482"/>
    <w:rsid w:val="00E0761A"/>
    <w:rsid w:val="00E07661"/>
    <w:rsid w:val="00E0798A"/>
    <w:rsid w:val="00E07DED"/>
    <w:rsid w:val="00E113A2"/>
    <w:rsid w:val="00E1152F"/>
    <w:rsid w:val="00E11578"/>
    <w:rsid w:val="00E11B14"/>
    <w:rsid w:val="00E11E92"/>
    <w:rsid w:val="00E12770"/>
    <w:rsid w:val="00E12913"/>
    <w:rsid w:val="00E130AB"/>
    <w:rsid w:val="00E138D7"/>
    <w:rsid w:val="00E13E14"/>
    <w:rsid w:val="00E14A08"/>
    <w:rsid w:val="00E14CFB"/>
    <w:rsid w:val="00E155AE"/>
    <w:rsid w:val="00E15C95"/>
    <w:rsid w:val="00E1643B"/>
    <w:rsid w:val="00E165B4"/>
    <w:rsid w:val="00E16884"/>
    <w:rsid w:val="00E16BC0"/>
    <w:rsid w:val="00E16F22"/>
    <w:rsid w:val="00E17258"/>
    <w:rsid w:val="00E1796E"/>
    <w:rsid w:val="00E17BF9"/>
    <w:rsid w:val="00E203E4"/>
    <w:rsid w:val="00E2092D"/>
    <w:rsid w:val="00E20AB9"/>
    <w:rsid w:val="00E217EC"/>
    <w:rsid w:val="00E21C03"/>
    <w:rsid w:val="00E21C8B"/>
    <w:rsid w:val="00E22104"/>
    <w:rsid w:val="00E2213A"/>
    <w:rsid w:val="00E226DF"/>
    <w:rsid w:val="00E2299D"/>
    <w:rsid w:val="00E22AF0"/>
    <w:rsid w:val="00E231E1"/>
    <w:rsid w:val="00E23A9B"/>
    <w:rsid w:val="00E23BF0"/>
    <w:rsid w:val="00E240E2"/>
    <w:rsid w:val="00E24263"/>
    <w:rsid w:val="00E24547"/>
    <w:rsid w:val="00E24867"/>
    <w:rsid w:val="00E253B9"/>
    <w:rsid w:val="00E25635"/>
    <w:rsid w:val="00E25671"/>
    <w:rsid w:val="00E257FE"/>
    <w:rsid w:val="00E25A82"/>
    <w:rsid w:val="00E25B92"/>
    <w:rsid w:val="00E26513"/>
    <w:rsid w:val="00E27013"/>
    <w:rsid w:val="00E27C65"/>
    <w:rsid w:val="00E27DAC"/>
    <w:rsid w:val="00E27F10"/>
    <w:rsid w:val="00E30148"/>
    <w:rsid w:val="00E307DF"/>
    <w:rsid w:val="00E309CF"/>
    <w:rsid w:val="00E30E1A"/>
    <w:rsid w:val="00E3103A"/>
    <w:rsid w:val="00E31206"/>
    <w:rsid w:val="00E3126C"/>
    <w:rsid w:val="00E331B4"/>
    <w:rsid w:val="00E33E3C"/>
    <w:rsid w:val="00E34235"/>
    <w:rsid w:val="00E346ED"/>
    <w:rsid w:val="00E34776"/>
    <w:rsid w:val="00E34DD2"/>
    <w:rsid w:val="00E357C1"/>
    <w:rsid w:val="00E35D2A"/>
    <w:rsid w:val="00E375DF"/>
    <w:rsid w:val="00E37CDE"/>
    <w:rsid w:val="00E37D35"/>
    <w:rsid w:val="00E37E5E"/>
    <w:rsid w:val="00E3C324"/>
    <w:rsid w:val="00E40026"/>
    <w:rsid w:val="00E40175"/>
    <w:rsid w:val="00E408A8"/>
    <w:rsid w:val="00E40A16"/>
    <w:rsid w:val="00E40A40"/>
    <w:rsid w:val="00E40F1C"/>
    <w:rsid w:val="00E41410"/>
    <w:rsid w:val="00E41975"/>
    <w:rsid w:val="00E42055"/>
    <w:rsid w:val="00E4215A"/>
    <w:rsid w:val="00E422C1"/>
    <w:rsid w:val="00E42B59"/>
    <w:rsid w:val="00E4341D"/>
    <w:rsid w:val="00E4383E"/>
    <w:rsid w:val="00E43E1D"/>
    <w:rsid w:val="00E43F54"/>
    <w:rsid w:val="00E43FFE"/>
    <w:rsid w:val="00E44AEC"/>
    <w:rsid w:val="00E44B2C"/>
    <w:rsid w:val="00E450A0"/>
    <w:rsid w:val="00E454F2"/>
    <w:rsid w:val="00E45CEF"/>
    <w:rsid w:val="00E46014"/>
    <w:rsid w:val="00E463A9"/>
    <w:rsid w:val="00E46465"/>
    <w:rsid w:val="00E46A0E"/>
    <w:rsid w:val="00E471CC"/>
    <w:rsid w:val="00E4734B"/>
    <w:rsid w:val="00E476BB"/>
    <w:rsid w:val="00E47714"/>
    <w:rsid w:val="00E479F9"/>
    <w:rsid w:val="00E47C9B"/>
    <w:rsid w:val="00E47D42"/>
    <w:rsid w:val="00E502B0"/>
    <w:rsid w:val="00E50D51"/>
    <w:rsid w:val="00E50F65"/>
    <w:rsid w:val="00E512A4"/>
    <w:rsid w:val="00E515B6"/>
    <w:rsid w:val="00E51F01"/>
    <w:rsid w:val="00E52134"/>
    <w:rsid w:val="00E523EA"/>
    <w:rsid w:val="00E52519"/>
    <w:rsid w:val="00E52553"/>
    <w:rsid w:val="00E525F3"/>
    <w:rsid w:val="00E52818"/>
    <w:rsid w:val="00E52943"/>
    <w:rsid w:val="00E52C15"/>
    <w:rsid w:val="00E5399F"/>
    <w:rsid w:val="00E539D3"/>
    <w:rsid w:val="00E53D8F"/>
    <w:rsid w:val="00E54090"/>
    <w:rsid w:val="00E54161"/>
    <w:rsid w:val="00E541EC"/>
    <w:rsid w:val="00E54365"/>
    <w:rsid w:val="00E54427"/>
    <w:rsid w:val="00E554B9"/>
    <w:rsid w:val="00E56175"/>
    <w:rsid w:val="00E56950"/>
    <w:rsid w:val="00E56A19"/>
    <w:rsid w:val="00E5722B"/>
    <w:rsid w:val="00E57288"/>
    <w:rsid w:val="00E579D8"/>
    <w:rsid w:val="00E60097"/>
    <w:rsid w:val="00E60171"/>
    <w:rsid w:val="00E60227"/>
    <w:rsid w:val="00E60395"/>
    <w:rsid w:val="00E60685"/>
    <w:rsid w:val="00E6119E"/>
    <w:rsid w:val="00E61217"/>
    <w:rsid w:val="00E61671"/>
    <w:rsid w:val="00E6177C"/>
    <w:rsid w:val="00E617AD"/>
    <w:rsid w:val="00E61BFD"/>
    <w:rsid w:val="00E6214C"/>
    <w:rsid w:val="00E6227F"/>
    <w:rsid w:val="00E6230E"/>
    <w:rsid w:val="00E628BB"/>
    <w:rsid w:val="00E62A5A"/>
    <w:rsid w:val="00E62C85"/>
    <w:rsid w:val="00E63006"/>
    <w:rsid w:val="00E63888"/>
    <w:rsid w:val="00E63ABD"/>
    <w:rsid w:val="00E641AA"/>
    <w:rsid w:val="00E6595C"/>
    <w:rsid w:val="00E66004"/>
    <w:rsid w:val="00E66030"/>
    <w:rsid w:val="00E66055"/>
    <w:rsid w:val="00E660D3"/>
    <w:rsid w:val="00E661A0"/>
    <w:rsid w:val="00E661D8"/>
    <w:rsid w:val="00E66B76"/>
    <w:rsid w:val="00E66E7E"/>
    <w:rsid w:val="00E672D5"/>
    <w:rsid w:val="00E67554"/>
    <w:rsid w:val="00E67713"/>
    <w:rsid w:val="00E67CC3"/>
    <w:rsid w:val="00E703C0"/>
    <w:rsid w:val="00E7066D"/>
    <w:rsid w:val="00E706B8"/>
    <w:rsid w:val="00E708F4"/>
    <w:rsid w:val="00E716AB"/>
    <w:rsid w:val="00E717DB"/>
    <w:rsid w:val="00E718F0"/>
    <w:rsid w:val="00E719E3"/>
    <w:rsid w:val="00E71BD0"/>
    <w:rsid w:val="00E71FE5"/>
    <w:rsid w:val="00E7205C"/>
    <w:rsid w:val="00E726FC"/>
    <w:rsid w:val="00E727DE"/>
    <w:rsid w:val="00E72F78"/>
    <w:rsid w:val="00E730CD"/>
    <w:rsid w:val="00E7327F"/>
    <w:rsid w:val="00E733A5"/>
    <w:rsid w:val="00E735E2"/>
    <w:rsid w:val="00E7365C"/>
    <w:rsid w:val="00E73660"/>
    <w:rsid w:val="00E73AD7"/>
    <w:rsid w:val="00E73F15"/>
    <w:rsid w:val="00E74637"/>
    <w:rsid w:val="00E74BCF"/>
    <w:rsid w:val="00E74D1D"/>
    <w:rsid w:val="00E74DCE"/>
    <w:rsid w:val="00E74F55"/>
    <w:rsid w:val="00E74FA0"/>
    <w:rsid w:val="00E75FE4"/>
    <w:rsid w:val="00E76088"/>
    <w:rsid w:val="00E76AD1"/>
    <w:rsid w:val="00E771B5"/>
    <w:rsid w:val="00E775D5"/>
    <w:rsid w:val="00E77802"/>
    <w:rsid w:val="00E77ABE"/>
    <w:rsid w:val="00E77F99"/>
    <w:rsid w:val="00E8021A"/>
    <w:rsid w:val="00E808FF"/>
    <w:rsid w:val="00E80941"/>
    <w:rsid w:val="00E80C39"/>
    <w:rsid w:val="00E80DE8"/>
    <w:rsid w:val="00E81362"/>
    <w:rsid w:val="00E81D64"/>
    <w:rsid w:val="00E821D1"/>
    <w:rsid w:val="00E824AB"/>
    <w:rsid w:val="00E825F3"/>
    <w:rsid w:val="00E82911"/>
    <w:rsid w:val="00E8294B"/>
    <w:rsid w:val="00E84370"/>
    <w:rsid w:val="00E8466A"/>
    <w:rsid w:val="00E84950"/>
    <w:rsid w:val="00E851FD"/>
    <w:rsid w:val="00E85944"/>
    <w:rsid w:val="00E86B8F"/>
    <w:rsid w:val="00E86CC9"/>
    <w:rsid w:val="00E86F4D"/>
    <w:rsid w:val="00E8703E"/>
    <w:rsid w:val="00E872C9"/>
    <w:rsid w:val="00E87333"/>
    <w:rsid w:val="00E878AF"/>
    <w:rsid w:val="00E87D34"/>
    <w:rsid w:val="00E904E9"/>
    <w:rsid w:val="00E908B6"/>
    <w:rsid w:val="00E908BF"/>
    <w:rsid w:val="00E90D09"/>
    <w:rsid w:val="00E90F25"/>
    <w:rsid w:val="00E91749"/>
    <w:rsid w:val="00E91B7E"/>
    <w:rsid w:val="00E923BF"/>
    <w:rsid w:val="00E9271A"/>
    <w:rsid w:val="00E92DC4"/>
    <w:rsid w:val="00E9338D"/>
    <w:rsid w:val="00E933F7"/>
    <w:rsid w:val="00E9354D"/>
    <w:rsid w:val="00E939D2"/>
    <w:rsid w:val="00E94077"/>
    <w:rsid w:val="00E940CB"/>
    <w:rsid w:val="00E940FF"/>
    <w:rsid w:val="00E94346"/>
    <w:rsid w:val="00E94465"/>
    <w:rsid w:val="00E9463F"/>
    <w:rsid w:val="00E9470A"/>
    <w:rsid w:val="00E94992"/>
    <w:rsid w:val="00E94A78"/>
    <w:rsid w:val="00E956B4"/>
    <w:rsid w:val="00E95838"/>
    <w:rsid w:val="00E95B2E"/>
    <w:rsid w:val="00E95D6E"/>
    <w:rsid w:val="00E963A5"/>
    <w:rsid w:val="00E964DA"/>
    <w:rsid w:val="00E96C1D"/>
    <w:rsid w:val="00E973A1"/>
    <w:rsid w:val="00E975E4"/>
    <w:rsid w:val="00E975FB"/>
    <w:rsid w:val="00E97D34"/>
    <w:rsid w:val="00EA083A"/>
    <w:rsid w:val="00EA0D88"/>
    <w:rsid w:val="00EA12D1"/>
    <w:rsid w:val="00EA1570"/>
    <w:rsid w:val="00EA20CE"/>
    <w:rsid w:val="00EA3A5E"/>
    <w:rsid w:val="00EA4102"/>
    <w:rsid w:val="00EA47A2"/>
    <w:rsid w:val="00EA4D94"/>
    <w:rsid w:val="00EA4E5F"/>
    <w:rsid w:val="00EA57A8"/>
    <w:rsid w:val="00EA5807"/>
    <w:rsid w:val="00EA5832"/>
    <w:rsid w:val="00EA5978"/>
    <w:rsid w:val="00EA5A33"/>
    <w:rsid w:val="00EA5C2A"/>
    <w:rsid w:val="00EA5E5B"/>
    <w:rsid w:val="00EA74FF"/>
    <w:rsid w:val="00EA7666"/>
    <w:rsid w:val="00EA7D5C"/>
    <w:rsid w:val="00EA7FA2"/>
    <w:rsid w:val="00EB073F"/>
    <w:rsid w:val="00EB091B"/>
    <w:rsid w:val="00EB0FE0"/>
    <w:rsid w:val="00EB1CFE"/>
    <w:rsid w:val="00EB1D55"/>
    <w:rsid w:val="00EB203E"/>
    <w:rsid w:val="00EB2294"/>
    <w:rsid w:val="00EB23D7"/>
    <w:rsid w:val="00EB2833"/>
    <w:rsid w:val="00EB2982"/>
    <w:rsid w:val="00EB2FBA"/>
    <w:rsid w:val="00EB3023"/>
    <w:rsid w:val="00EB3AA8"/>
    <w:rsid w:val="00EB4465"/>
    <w:rsid w:val="00EB53D4"/>
    <w:rsid w:val="00EB6349"/>
    <w:rsid w:val="00EB6407"/>
    <w:rsid w:val="00EB66BD"/>
    <w:rsid w:val="00EB6C77"/>
    <w:rsid w:val="00EB6F16"/>
    <w:rsid w:val="00EB7018"/>
    <w:rsid w:val="00EC01A1"/>
    <w:rsid w:val="00EC0427"/>
    <w:rsid w:val="00EC0CD1"/>
    <w:rsid w:val="00EC109E"/>
    <w:rsid w:val="00EC1482"/>
    <w:rsid w:val="00EC1659"/>
    <w:rsid w:val="00EC1803"/>
    <w:rsid w:val="00EC1889"/>
    <w:rsid w:val="00EC1D75"/>
    <w:rsid w:val="00EC1F8F"/>
    <w:rsid w:val="00EC2035"/>
    <w:rsid w:val="00EC24C7"/>
    <w:rsid w:val="00EC2A67"/>
    <w:rsid w:val="00EC35AF"/>
    <w:rsid w:val="00EC36F8"/>
    <w:rsid w:val="00EC383F"/>
    <w:rsid w:val="00EC3FC3"/>
    <w:rsid w:val="00EC42C4"/>
    <w:rsid w:val="00EC4BDC"/>
    <w:rsid w:val="00EC5044"/>
    <w:rsid w:val="00EC5077"/>
    <w:rsid w:val="00EC5395"/>
    <w:rsid w:val="00EC61CB"/>
    <w:rsid w:val="00EC6418"/>
    <w:rsid w:val="00EC6D96"/>
    <w:rsid w:val="00EC720E"/>
    <w:rsid w:val="00EC78F2"/>
    <w:rsid w:val="00EC7AC2"/>
    <w:rsid w:val="00EC7FA3"/>
    <w:rsid w:val="00ED0151"/>
    <w:rsid w:val="00ED0316"/>
    <w:rsid w:val="00ED0431"/>
    <w:rsid w:val="00ED079B"/>
    <w:rsid w:val="00ED0D19"/>
    <w:rsid w:val="00ED0E0E"/>
    <w:rsid w:val="00ED112D"/>
    <w:rsid w:val="00ED1552"/>
    <w:rsid w:val="00ED1609"/>
    <w:rsid w:val="00ED1AE7"/>
    <w:rsid w:val="00ED2BE3"/>
    <w:rsid w:val="00ED2C1B"/>
    <w:rsid w:val="00ED324C"/>
    <w:rsid w:val="00ED33C9"/>
    <w:rsid w:val="00ED365A"/>
    <w:rsid w:val="00ED4279"/>
    <w:rsid w:val="00ED42F7"/>
    <w:rsid w:val="00ED5101"/>
    <w:rsid w:val="00ED53B0"/>
    <w:rsid w:val="00ED54D1"/>
    <w:rsid w:val="00ED5805"/>
    <w:rsid w:val="00ED5886"/>
    <w:rsid w:val="00ED59D8"/>
    <w:rsid w:val="00ED620C"/>
    <w:rsid w:val="00ED6A9F"/>
    <w:rsid w:val="00ED6BB0"/>
    <w:rsid w:val="00ED6F27"/>
    <w:rsid w:val="00ED73FB"/>
    <w:rsid w:val="00ED74BC"/>
    <w:rsid w:val="00ED7686"/>
    <w:rsid w:val="00EE01C8"/>
    <w:rsid w:val="00EE02EF"/>
    <w:rsid w:val="00EE02FD"/>
    <w:rsid w:val="00EE06AE"/>
    <w:rsid w:val="00EE0E08"/>
    <w:rsid w:val="00EE1084"/>
    <w:rsid w:val="00EE11F1"/>
    <w:rsid w:val="00EE1533"/>
    <w:rsid w:val="00EE1781"/>
    <w:rsid w:val="00EE190B"/>
    <w:rsid w:val="00EE1C00"/>
    <w:rsid w:val="00EE2136"/>
    <w:rsid w:val="00EE216F"/>
    <w:rsid w:val="00EE27E9"/>
    <w:rsid w:val="00EE27EC"/>
    <w:rsid w:val="00EE2974"/>
    <w:rsid w:val="00EE3330"/>
    <w:rsid w:val="00EE33CB"/>
    <w:rsid w:val="00EE35DD"/>
    <w:rsid w:val="00EE368B"/>
    <w:rsid w:val="00EE37A9"/>
    <w:rsid w:val="00EE3A95"/>
    <w:rsid w:val="00EE3B5A"/>
    <w:rsid w:val="00EE3F60"/>
    <w:rsid w:val="00EE4562"/>
    <w:rsid w:val="00EE512B"/>
    <w:rsid w:val="00EE5203"/>
    <w:rsid w:val="00EE56B4"/>
    <w:rsid w:val="00EE5D6D"/>
    <w:rsid w:val="00EE6070"/>
    <w:rsid w:val="00EE6754"/>
    <w:rsid w:val="00EE6831"/>
    <w:rsid w:val="00EE762F"/>
    <w:rsid w:val="00EE7EF4"/>
    <w:rsid w:val="00EF04BE"/>
    <w:rsid w:val="00EF0B1A"/>
    <w:rsid w:val="00EF0C73"/>
    <w:rsid w:val="00EF10BE"/>
    <w:rsid w:val="00EF15BE"/>
    <w:rsid w:val="00EF1DC0"/>
    <w:rsid w:val="00EF20BC"/>
    <w:rsid w:val="00EF2D01"/>
    <w:rsid w:val="00EF3F7E"/>
    <w:rsid w:val="00EF41AC"/>
    <w:rsid w:val="00EF4F80"/>
    <w:rsid w:val="00EF56F0"/>
    <w:rsid w:val="00EF5B07"/>
    <w:rsid w:val="00EF5B0A"/>
    <w:rsid w:val="00EF6E17"/>
    <w:rsid w:val="00EF709D"/>
    <w:rsid w:val="00EF7231"/>
    <w:rsid w:val="00EF77FA"/>
    <w:rsid w:val="00EF7AA7"/>
    <w:rsid w:val="00F000F5"/>
    <w:rsid w:val="00F000F6"/>
    <w:rsid w:val="00F00748"/>
    <w:rsid w:val="00F008ED"/>
    <w:rsid w:val="00F00CAC"/>
    <w:rsid w:val="00F00E3A"/>
    <w:rsid w:val="00F01149"/>
    <w:rsid w:val="00F01245"/>
    <w:rsid w:val="00F014A1"/>
    <w:rsid w:val="00F01817"/>
    <w:rsid w:val="00F02192"/>
    <w:rsid w:val="00F02828"/>
    <w:rsid w:val="00F02BDD"/>
    <w:rsid w:val="00F02CC8"/>
    <w:rsid w:val="00F030B3"/>
    <w:rsid w:val="00F03AE9"/>
    <w:rsid w:val="00F03F46"/>
    <w:rsid w:val="00F04229"/>
    <w:rsid w:val="00F04400"/>
    <w:rsid w:val="00F04A07"/>
    <w:rsid w:val="00F04E53"/>
    <w:rsid w:val="00F04F68"/>
    <w:rsid w:val="00F06162"/>
    <w:rsid w:val="00F068D1"/>
    <w:rsid w:val="00F06A38"/>
    <w:rsid w:val="00F06CBC"/>
    <w:rsid w:val="00F06E21"/>
    <w:rsid w:val="00F06FF6"/>
    <w:rsid w:val="00F07404"/>
    <w:rsid w:val="00F07423"/>
    <w:rsid w:val="00F07463"/>
    <w:rsid w:val="00F075AB"/>
    <w:rsid w:val="00F07E80"/>
    <w:rsid w:val="00F10059"/>
    <w:rsid w:val="00F10A5F"/>
    <w:rsid w:val="00F11047"/>
    <w:rsid w:val="00F1108B"/>
    <w:rsid w:val="00F119F8"/>
    <w:rsid w:val="00F11B19"/>
    <w:rsid w:val="00F11C39"/>
    <w:rsid w:val="00F120D7"/>
    <w:rsid w:val="00F1210F"/>
    <w:rsid w:val="00F12198"/>
    <w:rsid w:val="00F123AC"/>
    <w:rsid w:val="00F127E7"/>
    <w:rsid w:val="00F12911"/>
    <w:rsid w:val="00F12959"/>
    <w:rsid w:val="00F12A85"/>
    <w:rsid w:val="00F12D9F"/>
    <w:rsid w:val="00F13369"/>
    <w:rsid w:val="00F13467"/>
    <w:rsid w:val="00F13C48"/>
    <w:rsid w:val="00F13C88"/>
    <w:rsid w:val="00F13D8A"/>
    <w:rsid w:val="00F14172"/>
    <w:rsid w:val="00F147F0"/>
    <w:rsid w:val="00F14B29"/>
    <w:rsid w:val="00F14D28"/>
    <w:rsid w:val="00F14DA2"/>
    <w:rsid w:val="00F14E45"/>
    <w:rsid w:val="00F1510A"/>
    <w:rsid w:val="00F15792"/>
    <w:rsid w:val="00F167FB"/>
    <w:rsid w:val="00F16AA1"/>
    <w:rsid w:val="00F170E2"/>
    <w:rsid w:val="00F178EB"/>
    <w:rsid w:val="00F17968"/>
    <w:rsid w:val="00F17E10"/>
    <w:rsid w:val="00F20AF6"/>
    <w:rsid w:val="00F214CF"/>
    <w:rsid w:val="00F21766"/>
    <w:rsid w:val="00F21837"/>
    <w:rsid w:val="00F21920"/>
    <w:rsid w:val="00F21EF0"/>
    <w:rsid w:val="00F2218A"/>
    <w:rsid w:val="00F2228F"/>
    <w:rsid w:val="00F223DE"/>
    <w:rsid w:val="00F2241C"/>
    <w:rsid w:val="00F226AA"/>
    <w:rsid w:val="00F228B4"/>
    <w:rsid w:val="00F22BF9"/>
    <w:rsid w:val="00F237BC"/>
    <w:rsid w:val="00F243D2"/>
    <w:rsid w:val="00F24506"/>
    <w:rsid w:val="00F249DB"/>
    <w:rsid w:val="00F24AF3"/>
    <w:rsid w:val="00F24C3D"/>
    <w:rsid w:val="00F24D51"/>
    <w:rsid w:val="00F25407"/>
    <w:rsid w:val="00F25481"/>
    <w:rsid w:val="00F25659"/>
    <w:rsid w:val="00F25961"/>
    <w:rsid w:val="00F25C98"/>
    <w:rsid w:val="00F261A0"/>
    <w:rsid w:val="00F26403"/>
    <w:rsid w:val="00F2648B"/>
    <w:rsid w:val="00F264CE"/>
    <w:rsid w:val="00F2692D"/>
    <w:rsid w:val="00F269FA"/>
    <w:rsid w:val="00F26E2C"/>
    <w:rsid w:val="00F274F0"/>
    <w:rsid w:val="00F27593"/>
    <w:rsid w:val="00F27B63"/>
    <w:rsid w:val="00F27EE9"/>
    <w:rsid w:val="00F304D1"/>
    <w:rsid w:val="00F315F1"/>
    <w:rsid w:val="00F31EF9"/>
    <w:rsid w:val="00F31FD8"/>
    <w:rsid w:val="00F324E1"/>
    <w:rsid w:val="00F32B21"/>
    <w:rsid w:val="00F32B45"/>
    <w:rsid w:val="00F32B5B"/>
    <w:rsid w:val="00F32FBD"/>
    <w:rsid w:val="00F33964"/>
    <w:rsid w:val="00F33AFD"/>
    <w:rsid w:val="00F346E2"/>
    <w:rsid w:val="00F34B84"/>
    <w:rsid w:val="00F35187"/>
    <w:rsid w:val="00F35217"/>
    <w:rsid w:val="00F3642B"/>
    <w:rsid w:val="00F37062"/>
    <w:rsid w:val="00F37397"/>
    <w:rsid w:val="00F374AB"/>
    <w:rsid w:val="00F379E8"/>
    <w:rsid w:val="00F37A4A"/>
    <w:rsid w:val="00F401AC"/>
    <w:rsid w:val="00F4026F"/>
    <w:rsid w:val="00F404CE"/>
    <w:rsid w:val="00F409DF"/>
    <w:rsid w:val="00F40C16"/>
    <w:rsid w:val="00F40ECD"/>
    <w:rsid w:val="00F411F5"/>
    <w:rsid w:val="00F41BF3"/>
    <w:rsid w:val="00F41DAC"/>
    <w:rsid w:val="00F421CD"/>
    <w:rsid w:val="00F42762"/>
    <w:rsid w:val="00F42B79"/>
    <w:rsid w:val="00F42FF0"/>
    <w:rsid w:val="00F43031"/>
    <w:rsid w:val="00F4356E"/>
    <w:rsid w:val="00F43DBD"/>
    <w:rsid w:val="00F449AB"/>
    <w:rsid w:val="00F44AE7"/>
    <w:rsid w:val="00F44D97"/>
    <w:rsid w:val="00F452F0"/>
    <w:rsid w:val="00F4558D"/>
    <w:rsid w:val="00F455D4"/>
    <w:rsid w:val="00F4571C"/>
    <w:rsid w:val="00F45D3A"/>
    <w:rsid w:val="00F45D72"/>
    <w:rsid w:val="00F45DE8"/>
    <w:rsid w:val="00F460A9"/>
    <w:rsid w:val="00F46472"/>
    <w:rsid w:val="00F46F70"/>
    <w:rsid w:val="00F46FE3"/>
    <w:rsid w:val="00F4717A"/>
    <w:rsid w:val="00F471D3"/>
    <w:rsid w:val="00F47315"/>
    <w:rsid w:val="00F477CF"/>
    <w:rsid w:val="00F50B77"/>
    <w:rsid w:val="00F51444"/>
    <w:rsid w:val="00F516C5"/>
    <w:rsid w:val="00F51964"/>
    <w:rsid w:val="00F521D9"/>
    <w:rsid w:val="00F5237B"/>
    <w:rsid w:val="00F5250A"/>
    <w:rsid w:val="00F525EE"/>
    <w:rsid w:val="00F52717"/>
    <w:rsid w:val="00F545E0"/>
    <w:rsid w:val="00F545F8"/>
    <w:rsid w:val="00F547B2"/>
    <w:rsid w:val="00F55417"/>
    <w:rsid w:val="00F55A45"/>
    <w:rsid w:val="00F55EC9"/>
    <w:rsid w:val="00F55F1C"/>
    <w:rsid w:val="00F56773"/>
    <w:rsid w:val="00F5693B"/>
    <w:rsid w:val="00F5742D"/>
    <w:rsid w:val="00F57B87"/>
    <w:rsid w:val="00F57FFD"/>
    <w:rsid w:val="00F6035D"/>
    <w:rsid w:val="00F607C7"/>
    <w:rsid w:val="00F608E8"/>
    <w:rsid w:val="00F60D65"/>
    <w:rsid w:val="00F60DE1"/>
    <w:rsid w:val="00F61576"/>
    <w:rsid w:val="00F61BF1"/>
    <w:rsid w:val="00F61E4E"/>
    <w:rsid w:val="00F61F66"/>
    <w:rsid w:val="00F623B6"/>
    <w:rsid w:val="00F623FD"/>
    <w:rsid w:val="00F62431"/>
    <w:rsid w:val="00F62724"/>
    <w:rsid w:val="00F62854"/>
    <w:rsid w:val="00F62D52"/>
    <w:rsid w:val="00F630F5"/>
    <w:rsid w:val="00F63140"/>
    <w:rsid w:val="00F631E4"/>
    <w:rsid w:val="00F63373"/>
    <w:rsid w:val="00F6353E"/>
    <w:rsid w:val="00F6388D"/>
    <w:rsid w:val="00F64076"/>
    <w:rsid w:val="00F648EF"/>
    <w:rsid w:val="00F64996"/>
    <w:rsid w:val="00F64BF3"/>
    <w:rsid w:val="00F64D52"/>
    <w:rsid w:val="00F64FAD"/>
    <w:rsid w:val="00F66985"/>
    <w:rsid w:val="00F66A01"/>
    <w:rsid w:val="00F66A0C"/>
    <w:rsid w:val="00F66D95"/>
    <w:rsid w:val="00F678D5"/>
    <w:rsid w:val="00F67A52"/>
    <w:rsid w:val="00F67BE9"/>
    <w:rsid w:val="00F67CC9"/>
    <w:rsid w:val="00F67DD5"/>
    <w:rsid w:val="00F67E7D"/>
    <w:rsid w:val="00F70531"/>
    <w:rsid w:val="00F707AE"/>
    <w:rsid w:val="00F70EAB"/>
    <w:rsid w:val="00F71744"/>
    <w:rsid w:val="00F71DC2"/>
    <w:rsid w:val="00F725A3"/>
    <w:rsid w:val="00F726AA"/>
    <w:rsid w:val="00F726C0"/>
    <w:rsid w:val="00F72A36"/>
    <w:rsid w:val="00F72EFC"/>
    <w:rsid w:val="00F73276"/>
    <w:rsid w:val="00F742B8"/>
    <w:rsid w:val="00F749D2"/>
    <w:rsid w:val="00F74D7B"/>
    <w:rsid w:val="00F751A4"/>
    <w:rsid w:val="00F7556B"/>
    <w:rsid w:val="00F756EF"/>
    <w:rsid w:val="00F75F11"/>
    <w:rsid w:val="00F76140"/>
    <w:rsid w:val="00F7635E"/>
    <w:rsid w:val="00F76AB7"/>
    <w:rsid w:val="00F76D36"/>
    <w:rsid w:val="00F7720F"/>
    <w:rsid w:val="00F776A2"/>
    <w:rsid w:val="00F77B3F"/>
    <w:rsid w:val="00F77FD2"/>
    <w:rsid w:val="00F80242"/>
    <w:rsid w:val="00F802E7"/>
    <w:rsid w:val="00F803B3"/>
    <w:rsid w:val="00F80B32"/>
    <w:rsid w:val="00F80E28"/>
    <w:rsid w:val="00F81079"/>
    <w:rsid w:val="00F810FE"/>
    <w:rsid w:val="00F81AD7"/>
    <w:rsid w:val="00F81EE4"/>
    <w:rsid w:val="00F81FD4"/>
    <w:rsid w:val="00F82476"/>
    <w:rsid w:val="00F82CA5"/>
    <w:rsid w:val="00F82F22"/>
    <w:rsid w:val="00F83416"/>
    <w:rsid w:val="00F83ADF"/>
    <w:rsid w:val="00F83AF9"/>
    <w:rsid w:val="00F843AA"/>
    <w:rsid w:val="00F859F9"/>
    <w:rsid w:val="00F86203"/>
    <w:rsid w:val="00F86774"/>
    <w:rsid w:val="00F870A7"/>
    <w:rsid w:val="00F87985"/>
    <w:rsid w:val="00F87C38"/>
    <w:rsid w:val="00F87D3F"/>
    <w:rsid w:val="00F87DE8"/>
    <w:rsid w:val="00F9069A"/>
    <w:rsid w:val="00F90F7B"/>
    <w:rsid w:val="00F91099"/>
    <w:rsid w:val="00F91294"/>
    <w:rsid w:val="00F913F4"/>
    <w:rsid w:val="00F9143F"/>
    <w:rsid w:val="00F91743"/>
    <w:rsid w:val="00F91C78"/>
    <w:rsid w:val="00F91E7E"/>
    <w:rsid w:val="00F91E96"/>
    <w:rsid w:val="00F921DF"/>
    <w:rsid w:val="00F92702"/>
    <w:rsid w:val="00F92B8C"/>
    <w:rsid w:val="00F92D6F"/>
    <w:rsid w:val="00F92EE1"/>
    <w:rsid w:val="00F93281"/>
    <w:rsid w:val="00F9347D"/>
    <w:rsid w:val="00F93E85"/>
    <w:rsid w:val="00F94170"/>
    <w:rsid w:val="00F9417E"/>
    <w:rsid w:val="00F94DCE"/>
    <w:rsid w:val="00F94E9C"/>
    <w:rsid w:val="00F94F25"/>
    <w:rsid w:val="00F9545A"/>
    <w:rsid w:val="00F9557C"/>
    <w:rsid w:val="00F95660"/>
    <w:rsid w:val="00F95968"/>
    <w:rsid w:val="00F959D7"/>
    <w:rsid w:val="00F95B63"/>
    <w:rsid w:val="00F962C9"/>
    <w:rsid w:val="00F9658A"/>
    <w:rsid w:val="00F96B03"/>
    <w:rsid w:val="00F96CDF"/>
    <w:rsid w:val="00F972E6"/>
    <w:rsid w:val="00F97353"/>
    <w:rsid w:val="00F97395"/>
    <w:rsid w:val="00F97A74"/>
    <w:rsid w:val="00F97B4E"/>
    <w:rsid w:val="00F97E21"/>
    <w:rsid w:val="00FA012D"/>
    <w:rsid w:val="00FA018D"/>
    <w:rsid w:val="00FA06A2"/>
    <w:rsid w:val="00FA0798"/>
    <w:rsid w:val="00FA08EC"/>
    <w:rsid w:val="00FA0D29"/>
    <w:rsid w:val="00FA0EDB"/>
    <w:rsid w:val="00FA0FC9"/>
    <w:rsid w:val="00FA159C"/>
    <w:rsid w:val="00FA15AF"/>
    <w:rsid w:val="00FA1642"/>
    <w:rsid w:val="00FA1690"/>
    <w:rsid w:val="00FA1936"/>
    <w:rsid w:val="00FA1944"/>
    <w:rsid w:val="00FA197F"/>
    <w:rsid w:val="00FA2221"/>
    <w:rsid w:val="00FA22AA"/>
    <w:rsid w:val="00FA268C"/>
    <w:rsid w:val="00FA30F3"/>
    <w:rsid w:val="00FA38C2"/>
    <w:rsid w:val="00FA3EAD"/>
    <w:rsid w:val="00FA3FC1"/>
    <w:rsid w:val="00FA46BA"/>
    <w:rsid w:val="00FA49B7"/>
    <w:rsid w:val="00FA4FCD"/>
    <w:rsid w:val="00FA51B4"/>
    <w:rsid w:val="00FA6365"/>
    <w:rsid w:val="00FA6A5B"/>
    <w:rsid w:val="00FA73D2"/>
    <w:rsid w:val="00FA7EED"/>
    <w:rsid w:val="00FB0755"/>
    <w:rsid w:val="00FB0874"/>
    <w:rsid w:val="00FB0A68"/>
    <w:rsid w:val="00FB0DDC"/>
    <w:rsid w:val="00FB1228"/>
    <w:rsid w:val="00FB1E05"/>
    <w:rsid w:val="00FB2368"/>
    <w:rsid w:val="00FB24F3"/>
    <w:rsid w:val="00FB2563"/>
    <w:rsid w:val="00FB290C"/>
    <w:rsid w:val="00FB2913"/>
    <w:rsid w:val="00FB294B"/>
    <w:rsid w:val="00FB343C"/>
    <w:rsid w:val="00FB41EE"/>
    <w:rsid w:val="00FB44A6"/>
    <w:rsid w:val="00FB44E7"/>
    <w:rsid w:val="00FB479F"/>
    <w:rsid w:val="00FB4F7E"/>
    <w:rsid w:val="00FB510D"/>
    <w:rsid w:val="00FB5142"/>
    <w:rsid w:val="00FB5F8C"/>
    <w:rsid w:val="00FB6DA8"/>
    <w:rsid w:val="00FB6E6F"/>
    <w:rsid w:val="00FB7827"/>
    <w:rsid w:val="00FB7DC9"/>
    <w:rsid w:val="00FC0239"/>
    <w:rsid w:val="00FC07FF"/>
    <w:rsid w:val="00FC0CF9"/>
    <w:rsid w:val="00FC1109"/>
    <w:rsid w:val="00FC12CD"/>
    <w:rsid w:val="00FC1AF5"/>
    <w:rsid w:val="00FC1D6D"/>
    <w:rsid w:val="00FC1DE0"/>
    <w:rsid w:val="00FC1DFA"/>
    <w:rsid w:val="00FC21A9"/>
    <w:rsid w:val="00FC29E8"/>
    <w:rsid w:val="00FC2C8B"/>
    <w:rsid w:val="00FC3142"/>
    <w:rsid w:val="00FC3518"/>
    <w:rsid w:val="00FC4A55"/>
    <w:rsid w:val="00FC4B68"/>
    <w:rsid w:val="00FC4EC9"/>
    <w:rsid w:val="00FC5037"/>
    <w:rsid w:val="00FC5189"/>
    <w:rsid w:val="00FC570F"/>
    <w:rsid w:val="00FC5794"/>
    <w:rsid w:val="00FC622B"/>
    <w:rsid w:val="00FC75FF"/>
    <w:rsid w:val="00FC786D"/>
    <w:rsid w:val="00FC7DD7"/>
    <w:rsid w:val="00FD01AD"/>
    <w:rsid w:val="00FD03A3"/>
    <w:rsid w:val="00FD0529"/>
    <w:rsid w:val="00FD0D29"/>
    <w:rsid w:val="00FD13C9"/>
    <w:rsid w:val="00FD15A3"/>
    <w:rsid w:val="00FD1B18"/>
    <w:rsid w:val="00FD1EC4"/>
    <w:rsid w:val="00FD1F15"/>
    <w:rsid w:val="00FD24A2"/>
    <w:rsid w:val="00FD28F9"/>
    <w:rsid w:val="00FD2B4D"/>
    <w:rsid w:val="00FD2B69"/>
    <w:rsid w:val="00FD2E01"/>
    <w:rsid w:val="00FD2F16"/>
    <w:rsid w:val="00FD3288"/>
    <w:rsid w:val="00FD3BD3"/>
    <w:rsid w:val="00FD3F2C"/>
    <w:rsid w:val="00FD4018"/>
    <w:rsid w:val="00FD44F4"/>
    <w:rsid w:val="00FD4997"/>
    <w:rsid w:val="00FD5614"/>
    <w:rsid w:val="00FD5A5C"/>
    <w:rsid w:val="00FD5FAF"/>
    <w:rsid w:val="00FD6399"/>
    <w:rsid w:val="00FD659A"/>
    <w:rsid w:val="00FD6CC3"/>
    <w:rsid w:val="00FD6E22"/>
    <w:rsid w:val="00FD700E"/>
    <w:rsid w:val="00FD7825"/>
    <w:rsid w:val="00FD783B"/>
    <w:rsid w:val="00FE0902"/>
    <w:rsid w:val="00FE0DAD"/>
    <w:rsid w:val="00FE10F9"/>
    <w:rsid w:val="00FE143F"/>
    <w:rsid w:val="00FE163A"/>
    <w:rsid w:val="00FE26D2"/>
    <w:rsid w:val="00FE28F0"/>
    <w:rsid w:val="00FE29AF"/>
    <w:rsid w:val="00FE2F14"/>
    <w:rsid w:val="00FE32E0"/>
    <w:rsid w:val="00FE396D"/>
    <w:rsid w:val="00FE3BD9"/>
    <w:rsid w:val="00FE3F08"/>
    <w:rsid w:val="00FE3F4E"/>
    <w:rsid w:val="00FE408A"/>
    <w:rsid w:val="00FE41CC"/>
    <w:rsid w:val="00FE44BE"/>
    <w:rsid w:val="00FE4D0F"/>
    <w:rsid w:val="00FE5054"/>
    <w:rsid w:val="00FE52AD"/>
    <w:rsid w:val="00FE5A88"/>
    <w:rsid w:val="00FE5D2A"/>
    <w:rsid w:val="00FE6A75"/>
    <w:rsid w:val="00FE72CB"/>
    <w:rsid w:val="00FE7CF0"/>
    <w:rsid w:val="00FE7D65"/>
    <w:rsid w:val="00FF054A"/>
    <w:rsid w:val="00FF064C"/>
    <w:rsid w:val="00FF06DF"/>
    <w:rsid w:val="00FF0AA1"/>
    <w:rsid w:val="00FF0EED"/>
    <w:rsid w:val="00FF0F73"/>
    <w:rsid w:val="00FF11B4"/>
    <w:rsid w:val="00FF1A7E"/>
    <w:rsid w:val="00FF229A"/>
    <w:rsid w:val="00FF2AB0"/>
    <w:rsid w:val="00FF2B8A"/>
    <w:rsid w:val="00FF2DFE"/>
    <w:rsid w:val="00FF2F70"/>
    <w:rsid w:val="00FF341A"/>
    <w:rsid w:val="00FF3626"/>
    <w:rsid w:val="00FF3730"/>
    <w:rsid w:val="00FF445D"/>
    <w:rsid w:val="00FF4486"/>
    <w:rsid w:val="00FF50AD"/>
    <w:rsid w:val="00FF51F7"/>
    <w:rsid w:val="00FF5C0A"/>
    <w:rsid w:val="00FF5C97"/>
    <w:rsid w:val="00FF6096"/>
    <w:rsid w:val="00FF6922"/>
    <w:rsid w:val="00FF69E7"/>
    <w:rsid w:val="00FF6B00"/>
    <w:rsid w:val="00FF73CA"/>
    <w:rsid w:val="00FF7A43"/>
    <w:rsid w:val="0100627D"/>
    <w:rsid w:val="0112E6CE"/>
    <w:rsid w:val="0127AF05"/>
    <w:rsid w:val="0189EE19"/>
    <w:rsid w:val="019779AE"/>
    <w:rsid w:val="0199E475"/>
    <w:rsid w:val="019D848E"/>
    <w:rsid w:val="01C139DE"/>
    <w:rsid w:val="01CC7A27"/>
    <w:rsid w:val="02221873"/>
    <w:rsid w:val="023D75C4"/>
    <w:rsid w:val="0287BD2A"/>
    <w:rsid w:val="02AEA625"/>
    <w:rsid w:val="02C4033B"/>
    <w:rsid w:val="02E8D3F7"/>
    <w:rsid w:val="0314F87C"/>
    <w:rsid w:val="0316E4A9"/>
    <w:rsid w:val="0324FD31"/>
    <w:rsid w:val="03272449"/>
    <w:rsid w:val="032A3FE4"/>
    <w:rsid w:val="035AB257"/>
    <w:rsid w:val="037175B6"/>
    <w:rsid w:val="03FE392F"/>
    <w:rsid w:val="0412E209"/>
    <w:rsid w:val="043EB387"/>
    <w:rsid w:val="046FC8EF"/>
    <w:rsid w:val="047F3557"/>
    <w:rsid w:val="04D16E53"/>
    <w:rsid w:val="04E2B954"/>
    <w:rsid w:val="04EE608E"/>
    <w:rsid w:val="054E1197"/>
    <w:rsid w:val="05581F14"/>
    <w:rsid w:val="0604996D"/>
    <w:rsid w:val="061C6E56"/>
    <w:rsid w:val="0676AD7A"/>
    <w:rsid w:val="06919C3B"/>
    <w:rsid w:val="06977963"/>
    <w:rsid w:val="06C0BB3B"/>
    <w:rsid w:val="075B992E"/>
    <w:rsid w:val="077CF209"/>
    <w:rsid w:val="07C4BA09"/>
    <w:rsid w:val="07CD141C"/>
    <w:rsid w:val="080BA9BC"/>
    <w:rsid w:val="084AA31F"/>
    <w:rsid w:val="0885F103"/>
    <w:rsid w:val="08BD4C8A"/>
    <w:rsid w:val="08C31845"/>
    <w:rsid w:val="091D66B5"/>
    <w:rsid w:val="09286374"/>
    <w:rsid w:val="093BDF53"/>
    <w:rsid w:val="096D1454"/>
    <w:rsid w:val="097D9BB8"/>
    <w:rsid w:val="09F9B3A6"/>
    <w:rsid w:val="0A3E2102"/>
    <w:rsid w:val="0A5F769A"/>
    <w:rsid w:val="0A734246"/>
    <w:rsid w:val="0A7C4EAA"/>
    <w:rsid w:val="0A98EC10"/>
    <w:rsid w:val="0AB5E59E"/>
    <w:rsid w:val="0AC986E9"/>
    <w:rsid w:val="0B0BC5AF"/>
    <w:rsid w:val="0B111398"/>
    <w:rsid w:val="0B13EF67"/>
    <w:rsid w:val="0B18C002"/>
    <w:rsid w:val="0B4E03BE"/>
    <w:rsid w:val="0B8D35FA"/>
    <w:rsid w:val="0B96907C"/>
    <w:rsid w:val="0B991875"/>
    <w:rsid w:val="0BD5D8FF"/>
    <w:rsid w:val="0C02A975"/>
    <w:rsid w:val="0C1CA1A0"/>
    <w:rsid w:val="0C20219C"/>
    <w:rsid w:val="0C24E4A5"/>
    <w:rsid w:val="0C51BFE6"/>
    <w:rsid w:val="0C72C80B"/>
    <w:rsid w:val="0CC7A37C"/>
    <w:rsid w:val="0CC98E27"/>
    <w:rsid w:val="0CD490D0"/>
    <w:rsid w:val="0CF71C5C"/>
    <w:rsid w:val="0D0F8EF2"/>
    <w:rsid w:val="0D14305F"/>
    <w:rsid w:val="0D188B3A"/>
    <w:rsid w:val="0D2D5E81"/>
    <w:rsid w:val="0D445CED"/>
    <w:rsid w:val="0D707337"/>
    <w:rsid w:val="0D7FFAC1"/>
    <w:rsid w:val="0D8B3994"/>
    <w:rsid w:val="0D8D7A79"/>
    <w:rsid w:val="0DB46025"/>
    <w:rsid w:val="0DB8A54B"/>
    <w:rsid w:val="0DBB1BC7"/>
    <w:rsid w:val="0E05900A"/>
    <w:rsid w:val="0E4A8B93"/>
    <w:rsid w:val="0E766D6B"/>
    <w:rsid w:val="0EC84FF9"/>
    <w:rsid w:val="0F0F75DC"/>
    <w:rsid w:val="0F319927"/>
    <w:rsid w:val="0F624B92"/>
    <w:rsid w:val="0F7B9377"/>
    <w:rsid w:val="0F88125E"/>
    <w:rsid w:val="0FC18F12"/>
    <w:rsid w:val="0FFA7D2C"/>
    <w:rsid w:val="103CA829"/>
    <w:rsid w:val="104D25EA"/>
    <w:rsid w:val="1050A279"/>
    <w:rsid w:val="1073DEA0"/>
    <w:rsid w:val="10C795BD"/>
    <w:rsid w:val="10F3EC6E"/>
    <w:rsid w:val="10F4488C"/>
    <w:rsid w:val="10FCB3B8"/>
    <w:rsid w:val="11050653"/>
    <w:rsid w:val="116045A9"/>
    <w:rsid w:val="116F4769"/>
    <w:rsid w:val="11A722C4"/>
    <w:rsid w:val="11F7CFAB"/>
    <w:rsid w:val="12177D1C"/>
    <w:rsid w:val="123B270D"/>
    <w:rsid w:val="123D0419"/>
    <w:rsid w:val="126C5A5B"/>
    <w:rsid w:val="1283E3BE"/>
    <w:rsid w:val="12B04B86"/>
    <w:rsid w:val="12B35BE2"/>
    <w:rsid w:val="12C1D241"/>
    <w:rsid w:val="131030EB"/>
    <w:rsid w:val="131031B9"/>
    <w:rsid w:val="135D7BEA"/>
    <w:rsid w:val="137C3B26"/>
    <w:rsid w:val="13A029EE"/>
    <w:rsid w:val="13CC9F7B"/>
    <w:rsid w:val="13EC3AE2"/>
    <w:rsid w:val="14564CA9"/>
    <w:rsid w:val="1473F1A6"/>
    <w:rsid w:val="148C60DD"/>
    <w:rsid w:val="148C9063"/>
    <w:rsid w:val="148F7C11"/>
    <w:rsid w:val="14993D51"/>
    <w:rsid w:val="14A68FB4"/>
    <w:rsid w:val="14AC08F7"/>
    <w:rsid w:val="155C4324"/>
    <w:rsid w:val="156FC664"/>
    <w:rsid w:val="157B90E1"/>
    <w:rsid w:val="15BAC477"/>
    <w:rsid w:val="15C15CA0"/>
    <w:rsid w:val="15FF7A79"/>
    <w:rsid w:val="160B6D2D"/>
    <w:rsid w:val="160EE70C"/>
    <w:rsid w:val="1659218B"/>
    <w:rsid w:val="16728B05"/>
    <w:rsid w:val="1686F481"/>
    <w:rsid w:val="16CFD2BD"/>
    <w:rsid w:val="16E6CA83"/>
    <w:rsid w:val="17042A1A"/>
    <w:rsid w:val="1711251F"/>
    <w:rsid w:val="17223151"/>
    <w:rsid w:val="173FF6C7"/>
    <w:rsid w:val="1769F4CE"/>
    <w:rsid w:val="1788ACAD"/>
    <w:rsid w:val="179C85B5"/>
    <w:rsid w:val="17B751CD"/>
    <w:rsid w:val="17B7B521"/>
    <w:rsid w:val="180853D8"/>
    <w:rsid w:val="181650BB"/>
    <w:rsid w:val="18362209"/>
    <w:rsid w:val="18504E95"/>
    <w:rsid w:val="18596A4C"/>
    <w:rsid w:val="18B782DC"/>
    <w:rsid w:val="18E7D899"/>
    <w:rsid w:val="18EF9622"/>
    <w:rsid w:val="18F05D79"/>
    <w:rsid w:val="19008666"/>
    <w:rsid w:val="1901EBBD"/>
    <w:rsid w:val="191C6041"/>
    <w:rsid w:val="192B58D6"/>
    <w:rsid w:val="193A2617"/>
    <w:rsid w:val="193AF6BD"/>
    <w:rsid w:val="19568143"/>
    <w:rsid w:val="19D039DD"/>
    <w:rsid w:val="1A004372"/>
    <w:rsid w:val="1A0C57DA"/>
    <w:rsid w:val="1A4941F3"/>
    <w:rsid w:val="1A6ACCC4"/>
    <w:rsid w:val="1A70CFD6"/>
    <w:rsid w:val="1A917AD6"/>
    <w:rsid w:val="1A935781"/>
    <w:rsid w:val="1A9D24A8"/>
    <w:rsid w:val="1AA37F71"/>
    <w:rsid w:val="1AA4A692"/>
    <w:rsid w:val="1AAB67C7"/>
    <w:rsid w:val="1AC5D6CA"/>
    <w:rsid w:val="1AC9B334"/>
    <w:rsid w:val="1ACCDDA8"/>
    <w:rsid w:val="1B01E496"/>
    <w:rsid w:val="1B0EDD31"/>
    <w:rsid w:val="1B40FA55"/>
    <w:rsid w:val="1B4AA6BC"/>
    <w:rsid w:val="1B69550C"/>
    <w:rsid w:val="1B977F29"/>
    <w:rsid w:val="1BA2F494"/>
    <w:rsid w:val="1BA741DC"/>
    <w:rsid w:val="1BB8AF47"/>
    <w:rsid w:val="1C184D28"/>
    <w:rsid w:val="1C1CF5A4"/>
    <w:rsid w:val="1C6C102C"/>
    <w:rsid w:val="1C720E2B"/>
    <w:rsid w:val="1C7D3730"/>
    <w:rsid w:val="1C931749"/>
    <w:rsid w:val="1C9319E3"/>
    <w:rsid w:val="1CA3A029"/>
    <w:rsid w:val="1CCF42CA"/>
    <w:rsid w:val="1D1DF170"/>
    <w:rsid w:val="1D295CB0"/>
    <w:rsid w:val="1D7C201C"/>
    <w:rsid w:val="1DA77DFF"/>
    <w:rsid w:val="1DACD90D"/>
    <w:rsid w:val="1DE7DED2"/>
    <w:rsid w:val="1E11FB38"/>
    <w:rsid w:val="1E185A61"/>
    <w:rsid w:val="1E2C5138"/>
    <w:rsid w:val="1E32E0B3"/>
    <w:rsid w:val="1E4E18C4"/>
    <w:rsid w:val="1E6F1581"/>
    <w:rsid w:val="1E93F8A4"/>
    <w:rsid w:val="1EC81816"/>
    <w:rsid w:val="1ED4D474"/>
    <w:rsid w:val="1EFF792D"/>
    <w:rsid w:val="1F02645E"/>
    <w:rsid w:val="1F15BE9C"/>
    <w:rsid w:val="1F569A36"/>
    <w:rsid w:val="1F9A3250"/>
    <w:rsid w:val="20254C47"/>
    <w:rsid w:val="2027AEB1"/>
    <w:rsid w:val="2035C10A"/>
    <w:rsid w:val="209E8FFA"/>
    <w:rsid w:val="20A3A590"/>
    <w:rsid w:val="20B5B41B"/>
    <w:rsid w:val="20D82F45"/>
    <w:rsid w:val="20FB7BA9"/>
    <w:rsid w:val="212FEC45"/>
    <w:rsid w:val="21470B4F"/>
    <w:rsid w:val="215BE682"/>
    <w:rsid w:val="2160E025"/>
    <w:rsid w:val="216584E1"/>
    <w:rsid w:val="2166DAB4"/>
    <w:rsid w:val="21704D54"/>
    <w:rsid w:val="21F016C1"/>
    <w:rsid w:val="2206E7F2"/>
    <w:rsid w:val="2223EAEE"/>
    <w:rsid w:val="228A1D53"/>
    <w:rsid w:val="2306E677"/>
    <w:rsid w:val="2322342B"/>
    <w:rsid w:val="23262691"/>
    <w:rsid w:val="2350BABA"/>
    <w:rsid w:val="239933B0"/>
    <w:rsid w:val="23D34184"/>
    <w:rsid w:val="23F84EBA"/>
    <w:rsid w:val="242FE040"/>
    <w:rsid w:val="2456E08D"/>
    <w:rsid w:val="2483B14A"/>
    <w:rsid w:val="2489F2F8"/>
    <w:rsid w:val="2492B446"/>
    <w:rsid w:val="24987D45"/>
    <w:rsid w:val="24F2F976"/>
    <w:rsid w:val="25122925"/>
    <w:rsid w:val="2513C2BC"/>
    <w:rsid w:val="251CA96F"/>
    <w:rsid w:val="251D6011"/>
    <w:rsid w:val="252763D8"/>
    <w:rsid w:val="253142DC"/>
    <w:rsid w:val="258BD933"/>
    <w:rsid w:val="258E79F8"/>
    <w:rsid w:val="25BDABA1"/>
    <w:rsid w:val="25D7099C"/>
    <w:rsid w:val="25D896DD"/>
    <w:rsid w:val="261AF9ED"/>
    <w:rsid w:val="2650EDBA"/>
    <w:rsid w:val="26555431"/>
    <w:rsid w:val="2655BC6B"/>
    <w:rsid w:val="266D4880"/>
    <w:rsid w:val="267F6455"/>
    <w:rsid w:val="26827175"/>
    <w:rsid w:val="26B63144"/>
    <w:rsid w:val="2700158C"/>
    <w:rsid w:val="273BB1BB"/>
    <w:rsid w:val="275A6326"/>
    <w:rsid w:val="276B8332"/>
    <w:rsid w:val="276C0915"/>
    <w:rsid w:val="278961CC"/>
    <w:rsid w:val="278A4273"/>
    <w:rsid w:val="27A2F55B"/>
    <w:rsid w:val="27A306C7"/>
    <w:rsid w:val="27A8498D"/>
    <w:rsid w:val="27E631A4"/>
    <w:rsid w:val="27EF5BDF"/>
    <w:rsid w:val="27F81DB6"/>
    <w:rsid w:val="284460DC"/>
    <w:rsid w:val="284B5E63"/>
    <w:rsid w:val="28808260"/>
    <w:rsid w:val="28808677"/>
    <w:rsid w:val="2888BA11"/>
    <w:rsid w:val="2893CC44"/>
    <w:rsid w:val="28D930B5"/>
    <w:rsid w:val="2918FBF9"/>
    <w:rsid w:val="291F5E96"/>
    <w:rsid w:val="29264762"/>
    <w:rsid w:val="2952BBB5"/>
    <w:rsid w:val="299C6D81"/>
    <w:rsid w:val="29D3E7A3"/>
    <w:rsid w:val="2A6DECCD"/>
    <w:rsid w:val="2A7D3EA9"/>
    <w:rsid w:val="2A9F79CC"/>
    <w:rsid w:val="2AA7529E"/>
    <w:rsid w:val="2ABA2E44"/>
    <w:rsid w:val="2ACB37BA"/>
    <w:rsid w:val="2AE6EA12"/>
    <w:rsid w:val="2B53E057"/>
    <w:rsid w:val="2B8F3B02"/>
    <w:rsid w:val="2B9BB604"/>
    <w:rsid w:val="2BA53F03"/>
    <w:rsid w:val="2BB01B6E"/>
    <w:rsid w:val="2C1807EB"/>
    <w:rsid w:val="2C3A7AD7"/>
    <w:rsid w:val="2C3B819E"/>
    <w:rsid w:val="2C4D4593"/>
    <w:rsid w:val="2CAF2818"/>
    <w:rsid w:val="2CB5D250"/>
    <w:rsid w:val="2CFAE777"/>
    <w:rsid w:val="2D0113CB"/>
    <w:rsid w:val="2D02785F"/>
    <w:rsid w:val="2D07A5F1"/>
    <w:rsid w:val="2D26659E"/>
    <w:rsid w:val="2D506760"/>
    <w:rsid w:val="2D64E5CB"/>
    <w:rsid w:val="2D77719D"/>
    <w:rsid w:val="2D77E18D"/>
    <w:rsid w:val="2D7F8727"/>
    <w:rsid w:val="2D8FBE45"/>
    <w:rsid w:val="2D9A856F"/>
    <w:rsid w:val="2DB72F1F"/>
    <w:rsid w:val="2EC57168"/>
    <w:rsid w:val="2ED1FCF9"/>
    <w:rsid w:val="2F3E4340"/>
    <w:rsid w:val="2F5901DD"/>
    <w:rsid w:val="2F7E5A9E"/>
    <w:rsid w:val="2FAD3B43"/>
    <w:rsid w:val="2FD259F1"/>
    <w:rsid w:val="3004FC56"/>
    <w:rsid w:val="301D72D3"/>
    <w:rsid w:val="303E8EFF"/>
    <w:rsid w:val="30684E8A"/>
    <w:rsid w:val="306FCCE7"/>
    <w:rsid w:val="30BBAB70"/>
    <w:rsid w:val="30CC8C22"/>
    <w:rsid w:val="30E7E684"/>
    <w:rsid w:val="313878EF"/>
    <w:rsid w:val="313F0DBA"/>
    <w:rsid w:val="3148EB51"/>
    <w:rsid w:val="3178E811"/>
    <w:rsid w:val="3186D025"/>
    <w:rsid w:val="319866E5"/>
    <w:rsid w:val="31D565B9"/>
    <w:rsid w:val="31E1D503"/>
    <w:rsid w:val="3201E179"/>
    <w:rsid w:val="320E8110"/>
    <w:rsid w:val="3273E95A"/>
    <w:rsid w:val="32808E6E"/>
    <w:rsid w:val="32A69B8A"/>
    <w:rsid w:val="32F1EBDA"/>
    <w:rsid w:val="335C34AB"/>
    <w:rsid w:val="3369F73C"/>
    <w:rsid w:val="33F230BF"/>
    <w:rsid w:val="33F50941"/>
    <w:rsid w:val="33F535B6"/>
    <w:rsid w:val="33F9D602"/>
    <w:rsid w:val="34255577"/>
    <w:rsid w:val="342F6BF6"/>
    <w:rsid w:val="34368A65"/>
    <w:rsid w:val="344C6AF0"/>
    <w:rsid w:val="3465BD58"/>
    <w:rsid w:val="348DB1E2"/>
    <w:rsid w:val="34AEBE2E"/>
    <w:rsid w:val="34B57190"/>
    <w:rsid w:val="34B712DD"/>
    <w:rsid w:val="34D16C3A"/>
    <w:rsid w:val="34D457EF"/>
    <w:rsid w:val="34D70601"/>
    <w:rsid w:val="34E94441"/>
    <w:rsid w:val="3524BD2A"/>
    <w:rsid w:val="3533343E"/>
    <w:rsid w:val="356B7302"/>
    <w:rsid w:val="3597EE8F"/>
    <w:rsid w:val="35B980BA"/>
    <w:rsid w:val="35CF491B"/>
    <w:rsid w:val="35DFACD7"/>
    <w:rsid w:val="35ECEF90"/>
    <w:rsid w:val="36129528"/>
    <w:rsid w:val="361BE8DE"/>
    <w:rsid w:val="361F2870"/>
    <w:rsid w:val="364AEACF"/>
    <w:rsid w:val="3652164D"/>
    <w:rsid w:val="3661DD17"/>
    <w:rsid w:val="366DB4CD"/>
    <w:rsid w:val="367111C5"/>
    <w:rsid w:val="3671439C"/>
    <w:rsid w:val="36879EC5"/>
    <w:rsid w:val="368A94B1"/>
    <w:rsid w:val="36901ABB"/>
    <w:rsid w:val="36BEECDA"/>
    <w:rsid w:val="36D7B5EB"/>
    <w:rsid w:val="36EE685F"/>
    <w:rsid w:val="3725C8C0"/>
    <w:rsid w:val="37A21AB6"/>
    <w:rsid w:val="37A2D34C"/>
    <w:rsid w:val="37ED4845"/>
    <w:rsid w:val="381575A6"/>
    <w:rsid w:val="3837CD32"/>
    <w:rsid w:val="383805D9"/>
    <w:rsid w:val="38470297"/>
    <w:rsid w:val="385F6634"/>
    <w:rsid w:val="3866682D"/>
    <w:rsid w:val="38FBCE21"/>
    <w:rsid w:val="3911E637"/>
    <w:rsid w:val="3966DD9A"/>
    <w:rsid w:val="398C800B"/>
    <w:rsid w:val="39DCE433"/>
    <w:rsid w:val="3A1D05EC"/>
    <w:rsid w:val="3A2B0F84"/>
    <w:rsid w:val="3A3018C4"/>
    <w:rsid w:val="3A65B7B4"/>
    <w:rsid w:val="3A766DD7"/>
    <w:rsid w:val="3A8AB141"/>
    <w:rsid w:val="3A9ED7CD"/>
    <w:rsid w:val="3ABCF3CA"/>
    <w:rsid w:val="3ACDAFF7"/>
    <w:rsid w:val="3B9274DA"/>
    <w:rsid w:val="3BA0FE81"/>
    <w:rsid w:val="3BA59859"/>
    <w:rsid w:val="3BBDE3CC"/>
    <w:rsid w:val="3BC47D6E"/>
    <w:rsid w:val="3BD1F4FF"/>
    <w:rsid w:val="3BEDD0ED"/>
    <w:rsid w:val="3C5CBC43"/>
    <w:rsid w:val="3C725768"/>
    <w:rsid w:val="3C87CA45"/>
    <w:rsid w:val="3C8D37AB"/>
    <w:rsid w:val="3C9F91DD"/>
    <w:rsid w:val="3CB714BC"/>
    <w:rsid w:val="3CB9C850"/>
    <w:rsid w:val="3CD29683"/>
    <w:rsid w:val="3CE3A6C8"/>
    <w:rsid w:val="3CF2A1A2"/>
    <w:rsid w:val="3D55526E"/>
    <w:rsid w:val="3D6FB55E"/>
    <w:rsid w:val="3D70ACAC"/>
    <w:rsid w:val="3D769CAF"/>
    <w:rsid w:val="3D782505"/>
    <w:rsid w:val="3D782543"/>
    <w:rsid w:val="3D976D95"/>
    <w:rsid w:val="3DD25A49"/>
    <w:rsid w:val="3DD39CC1"/>
    <w:rsid w:val="3DE0E48E"/>
    <w:rsid w:val="3E117887"/>
    <w:rsid w:val="3E149767"/>
    <w:rsid w:val="3E487EA5"/>
    <w:rsid w:val="3E6429E5"/>
    <w:rsid w:val="3E90FCE3"/>
    <w:rsid w:val="3EC30D48"/>
    <w:rsid w:val="3F079350"/>
    <w:rsid w:val="3F8D4DD8"/>
    <w:rsid w:val="3FC49F03"/>
    <w:rsid w:val="3FC6F555"/>
    <w:rsid w:val="3FC8287E"/>
    <w:rsid w:val="3FD69670"/>
    <w:rsid w:val="3FF6C26E"/>
    <w:rsid w:val="40044B1D"/>
    <w:rsid w:val="402217D6"/>
    <w:rsid w:val="404F94E3"/>
    <w:rsid w:val="4065C6B3"/>
    <w:rsid w:val="40789823"/>
    <w:rsid w:val="40CF48C0"/>
    <w:rsid w:val="413D1874"/>
    <w:rsid w:val="41593AAB"/>
    <w:rsid w:val="416F7967"/>
    <w:rsid w:val="41CA9B57"/>
    <w:rsid w:val="41D93A65"/>
    <w:rsid w:val="41DAACF8"/>
    <w:rsid w:val="422761CF"/>
    <w:rsid w:val="4293DE74"/>
    <w:rsid w:val="42DBEC4F"/>
    <w:rsid w:val="430253C7"/>
    <w:rsid w:val="4302AB4E"/>
    <w:rsid w:val="431648B8"/>
    <w:rsid w:val="4360C100"/>
    <w:rsid w:val="43643274"/>
    <w:rsid w:val="43729159"/>
    <w:rsid w:val="43B1525B"/>
    <w:rsid w:val="440C60D8"/>
    <w:rsid w:val="440CB5EA"/>
    <w:rsid w:val="448495AF"/>
    <w:rsid w:val="44980080"/>
    <w:rsid w:val="44C8034C"/>
    <w:rsid w:val="450E18F2"/>
    <w:rsid w:val="454F38EA"/>
    <w:rsid w:val="45948184"/>
    <w:rsid w:val="45CC32E8"/>
    <w:rsid w:val="45F233DE"/>
    <w:rsid w:val="45FACB02"/>
    <w:rsid w:val="460F493B"/>
    <w:rsid w:val="461EC613"/>
    <w:rsid w:val="46403C12"/>
    <w:rsid w:val="470574B2"/>
    <w:rsid w:val="470F6DD0"/>
    <w:rsid w:val="47289D6A"/>
    <w:rsid w:val="472B8E0C"/>
    <w:rsid w:val="475384F3"/>
    <w:rsid w:val="479F61C4"/>
    <w:rsid w:val="47AA422A"/>
    <w:rsid w:val="47B12862"/>
    <w:rsid w:val="47B5E18F"/>
    <w:rsid w:val="47CE0180"/>
    <w:rsid w:val="47EBCB22"/>
    <w:rsid w:val="4824913E"/>
    <w:rsid w:val="487BE510"/>
    <w:rsid w:val="487EA960"/>
    <w:rsid w:val="487F1FD6"/>
    <w:rsid w:val="488496CB"/>
    <w:rsid w:val="48C53B75"/>
    <w:rsid w:val="48C56483"/>
    <w:rsid w:val="48CE591F"/>
    <w:rsid w:val="48DA0B71"/>
    <w:rsid w:val="492B51BC"/>
    <w:rsid w:val="49308F1D"/>
    <w:rsid w:val="493248CF"/>
    <w:rsid w:val="4936E4E5"/>
    <w:rsid w:val="493B1806"/>
    <w:rsid w:val="495CEBD8"/>
    <w:rsid w:val="4961F8D8"/>
    <w:rsid w:val="49854343"/>
    <w:rsid w:val="49AB94E4"/>
    <w:rsid w:val="4A006E62"/>
    <w:rsid w:val="4A07F070"/>
    <w:rsid w:val="4A3F17AA"/>
    <w:rsid w:val="4A42ED85"/>
    <w:rsid w:val="4A4D2E4D"/>
    <w:rsid w:val="4A5B0538"/>
    <w:rsid w:val="4A6D84C2"/>
    <w:rsid w:val="4A82E510"/>
    <w:rsid w:val="4A9FB113"/>
    <w:rsid w:val="4AA407F0"/>
    <w:rsid w:val="4B16B11C"/>
    <w:rsid w:val="4B2DC046"/>
    <w:rsid w:val="4B5B4A68"/>
    <w:rsid w:val="4B7D2CD0"/>
    <w:rsid w:val="4B9D78D1"/>
    <w:rsid w:val="4C9BB6B3"/>
    <w:rsid w:val="4CAD5313"/>
    <w:rsid w:val="4CF68C13"/>
    <w:rsid w:val="4D75869E"/>
    <w:rsid w:val="4D81D8F6"/>
    <w:rsid w:val="4D927272"/>
    <w:rsid w:val="4DB59647"/>
    <w:rsid w:val="4DBF217F"/>
    <w:rsid w:val="4E4E5F4A"/>
    <w:rsid w:val="4E9A1DD7"/>
    <w:rsid w:val="4EADC420"/>
    <w:rsid w:val="4EB56AD3"/>
    <w:rsid w:val="4EB6FF72"/>
    <w:rsid w:val="4EBAC554"/>
    <w:rsid w:val="4EC36992"/>
    <w:rsid w:val="4F0D37F2"/>
    <w:rsid w:val="4F2E018D"/>
    <w:rsid w:val="4F81FEAB"/>
    <w:rsid w:val="4FBEF1F0"/>
    <w:rsid w:val="4FCF9F8D"/>
    <w:rsid w:val="4FDEA1F6"/>
    <w:rsid w:val="4FF946D7"/>
    <w:rsid w:val="4FFD73E6"/>
    <w:rsid w:val="5024FD48"/>
    <w:rsid w:val="502DCD03"/>
    <w:rsid w:val="503297D8"/>
    <w:rsid w:val="50935D8F"/>
    <w:rsid w:val="5097A14F"/>
    <w:rsid w:val="50A1F560"/>
    <w:rsid w:val="50A5010F"/>
    <w:rsid w:val="50DD645F"/>
    <w:rsid w:val="512E502A"/>
    <w:rsid w:val="51313AEE"/>
    <w:rsid w:val="51C4CF5E"/>
    <w:rsid w:val="51D27D1D"/>
    <w:rsid w:val="51F2A7EA"/>
    <w:rsid w:val="523B4497"/>
    <w:rsid w:val="5263EF74"/>
    <w:rsid w:val="52650A50"/>
    <w:rsid w:val="52740613"/>
    <w:rsid w:val="529EDA50"/>
    <w:rsid w:val="52B8D1F5"/>
    <w:rsid w:val="52D7D2DD"/>
    <w:rsid w:val="52DFDB2D"/>
    <w:rsid w:val="530749A9"/>
    <w:rsid w:val="530EA024"/>
    <w:rsid w:val="53380CAF"/>
    <w:rsid w:val="53443F7F"/>
    <w:rsid w:val="5361DAB2"/>
    <w:rsid w:val="536CD848"/>
    <w:rsid w:val="5371DC49"/>
    <w:rsid w:val="53A2137C"/>
    <w:rsid w:val="53BDE5A0"/>
    <w:rsid w:val="53C4AF6D"/>
    <w:rsid w:val="53CE806E"/>
    <w:rsid w:val="53F8D0CB"/>
    <w:rsid w:val="544DF0C2"/>
    <w:rsid w:val="545248EC"/>
    <w:rsid w:val="5454E546"/>
    <w:rsid w:val="54562CAF"/>
    <w:rsid w:val="545DF9CA"/>
    <w:rsid w:val="547FB560"/>
    <w:rsid w:val="5483BC2A"/>
    <w:rsid w:val="54BDD5D9"/>
    <w:rsid w:val="5523D303"/>
    <w:rsid w:val="55242DB1"/>
    <w:rsid w:val="5524EEA8"/>
    <w:rsid w:val="557CB11D"/>
    <w:rsid w:val="5588FC42"/>
    <w:rsid w:val="55940B73"/>
    <w:rsid w:val="5597317F"/>
    <w:rsid w:val="55E304B3"/>
    <w:rsid w:val="55E58A96"/>
    <w:rsid w:val="55FEE72B"/>
    <w:rsid w:val="5649517C"/>
    <w:rsid w:val="56708C62"/>
    <w:rsid w:val="56B40065"/>
    <w:rsid w:val="5714C391"/>
    <w:rsid w:val="5783D2E7"/>
    <w:rsid w:val="57853769"/>
    <w:rsid w:val="57A3C561"/>
    <w:rsid w:val="57AD1D1C"/>
    <w:rsid w:val="57BC7C2C"/>
    <w:rsid w:val="57BC844D"/>
    <w:rsid w:val="57DCD2F0"/>
    <w:rsid w:val="57F97AFC"/>
    <w:rsid w:val="5811FA1D"/>
    <w:rsid w:val="58189938"/>
    <w:rsid w:val="5827A024"/>
    <w:rsid w:val="584D19A9"/>
    <w:rsid w:val="588FE32D"/>
    <w:rsid w:val="58C11230"/>
    <w:rsid w:val="5945F7FE"/>
    <w:rsid w:val="59467CA7"/>
    <w:rsid w:val="59591908"/>
    <w:rsid w:val="596C7418"/>
    <w:rsid w:val="59FA45B3"/>
    <w:rsid w:val="5A2D9B03"/>
    <w:rsid w:val="5A5ED4A6"/>
    <w:rsid w:val="5A749EBD"/>
    <w:rsid w:val="5AF3702E"/>
    <w:rsid w:val="5B535DF8"/>
    <w:rsid w:val="5BA5A6F9"/>
    <w:rsid w:val="5BE0038F"/>
    <w:rsid w:val="5C1D3020"/>
    <w:rsid w:val="5C4EBB07"/>
    <w:rsid w:val="5C74A079"/>
    <w:rsid w:val="5C77756D"/>
    <w:rsid w:val="5C8540C7"/>
    <w:rsid w:val="5CAD21DC"/>
    <w:rsid w:val="5CB16E96"/>
    <w:rsid w:val="5CE9A1B3"/>
    <w:rsid w:val="5CECA391"/>
    <w:rsid w:val="5D0B38C4"/>
    <w:rsid w:val="5D0D9069"/>
    <w:rsid w:val="5D155FAE"/>
    <w:rsid w:val="5D2A19A8"/>
    <w:rsid w:val="5D397ADC"/>
    <w:rsid w:val="5D3B6FF3"/>
    <w:rsid w:val="5D5A7C39"/>
    <w:rsid w:val="5D69C0BD"/>
    <w:rsid w:val="5DB17002"/>
    <w:rsid w:val="5DE65276"/>
    <w:rsid w:val="5DE6753E"/>
    <w:rsid w:val="5DFC19EC"/>
    <w:rsid w:val="5DFE98E4"/>
    <w:rsid w:val="5E1D0F47"/>
    <w:rsid w:val="5E5476C2"/>
    <w:rsid w:val="5E7072B3"/>
    <w:rsid w:val="5EA210E9"/>
    <w:rsid w:val="5ECE1203"/>
    <w:rsid w:val="5EDC5928"/>
    <w:rsid w:val="5F22FA2C"/>
    <w:rsid w:val="5F2B5166"/>
    <w:rsid w:val="5F38AAA2"/>
    <w:rsid w:val="5F411241"/>
    <w:rsid w:val="5F64CD28"/>
    <w:rsid w:val="5F891BAE"/>
    <w:rsid w:val="5FBE7C29"/>
    <w:rsid w:val="5FD1B6C3"/>
    <w:rsid w:val="5FE11B2A"/>
    <w:rsid w:val="5FF52AE1"/>
    <w:rsid w:val="5FFC7FB4"/>
    <w:rsid w:val="60198EF8"/>
    <w:rsid w:val="601A6CC2"/>
    <w:rsid w:val="601D57AA"/>
    <w:rsid w:val="602A526D"/>
    <w:rsid w:val="60462E97"/>
    <w:rsid w:val="6058A027"/>
    <w:rsid w:val="606D6967"/>
    <w:rsid w:val="607A9D76"/>
    <w:rsid w:val="607EAB89"/>
    <w:rsid w:val="60A6ADA2"/>
    <w:rsid w:val="60CC5C5C"/>
    <w:rsid w:val="60DF5172"/>
    <w:rsid w:val="60E71AEE"/>
    <w:rsid w:val="60E7E3DA"/>
    <w:rsid w:val="611317FB"/>
    <w:rsid w:val="613B8B26"/>
    <w:rsid w:val="615F3288"/>
    <w:rsid w:val="61610E0E"/>
    <w:rsid w:val="617CA192"/>
    <w:rsid w:val="6188AD0F"/>
    <w:rsid w:val="6196D137"/>
    <w:rsid w:val="61AAB1C7"/>
    <w:rsid w:val="61BA3257"/>
    <w:rsid w:val="61C5C798"/>
    <w:rsid w:val="61CDE6CA"/>
    <w:rsid w:val="620BF2C6"/>
    <w:rsid w:val="62395941"/>
    <w:rsid w:val="623B323B"/>
    <w:rsid w:val="624F07FF"/>
    <w:rsid w:val="6283F06B"/>
    <w:rsid w:val="62B1B3FA"/>
    <w:rsid w:val="62BC35D9"/>
    <w:rsid w:val="6304EC70"/>
    <w:rsid w:val="631A1142"/>
    <w:rsid w:val="633BF4FC"/>
    <w:rsid w:val="633E2BF1"/>
    <w:rsid w:val="637359D1"/>
    <w:rsid w:val="6395FEF2"/>
    <w:rsid w:val="639C1A94"/>
    <w:rsid w:val="63A21F28"/>
    <w:rsid w:val="63BA4586"/>
    <w:rsid w:val="63C17BE7"/>
    <w:rsid w:val="63ECDC8A"/>
    <w:rsid w:val="63F3AFE9"/>
    <w:rsid w:val="6492A1D4"/>
    <w:rsid w:val="649BE7CF"/>
    <w:rsid w:val="64C336F6"/>
    <w:rsid w:val="650C22CB"/>
    <w:rsid w:val="652673EF"/>
    <w:rsid w:val="6571238C"/>
    <w:rsid w:val="658219B8"/>
    <w:rsid w:val="65932737"/>
    <w:rsid w:val="65E2B44C"/>
    <w:rsid w:val="65FC10E5"/>
    <w:rsid w:val="660748E2"/>
    <w:rsid w:val="6616E5BD"/>
    <w:rsid w:val="66181230"/>
    <w:rsid w:val="66447563"/>
    <w:rsid w:val="66858E89"/>
    <w:rsid w:val="66CDE47E"/>
    <w:rsid w:val="66CED6D2"/>
    <w:rsid w:val="66DB2999"/>
    <w:rsid w:val="6708CE16"/>
    <w:rsid w:val="67305457"/>
    <w:rsid w:val="678DF960"/>
    <w:rsid w:val="67D964DB"/>
    <w:rsid w:val="68174189"/>
    <w:rsid w:val="681F65C1"/>
    <w:rsid w:val="6823B5CD"/>
    <w:rsid w:val="682B54FD"/>
    <w:rsid w:val="68356D91"/>
    <w:rsid w:val="6850C2E3"/>
    <w:rsid w:val="686DF302"/>
    <w:rsid w:val="68BA376F"/>
    <w:rsid w:val="68EFCD89"/>
    <w:rsid w:val="69201E92"/>
    <w:rsid w:val="694A6038"/>
    <w:rsid w:val="694E4CC0"/>
    <w:rsid w:val="69554359"/>
    <w:rsid w:val="69A5056F"/>
    <w:rsid w:val="69DC30EF"/>
    <w:rsid w:val="69ED87AD"/>
    <w:rsid w:val="6A04833F"/>
    <w:rsid w:val="6A52E1CA"/>
    <w:rsid w:val="6ABBC547"/>
    <w:rsid w:val="6AE45B68"/>
    <w:rsid w:val="6AEAE583"/>
    <w:rsid w:val="6B0A42B4"/>
    <w:rsid w:val="6B14D274"/>
    <w:rsid w:val="6B1DD75F"/>
    <w:rsid w:val="6B2C7BBC"/>
    <w:rsid w:val="6B3976D4"/>
    <w:rsid w:val="6BD00CD4"/>
    <w:rsid w:val="6BF93554"/>
    <w:rsid w:val="6C02F2D1"/>
    <w:rsid w:val="6C3DC28E"/>
    <w:rsid w:val="6C4AF91F"/>
    <w:rsid w:val="6C653BB2"/>
    <w:rsid w:val="6C65DBBA"/>
    <w:rsid w:val="6C7481EF"/>
    <w:rsid w:val="6C9C14DB"/>
    <w:rsid w:val="6CAD19AB"/>
    <w:rsid w:val="6CC847AC"/>
    <w:rsid w:val="6CF937B4"/>
    <w:rsid w:val="6D25A84F"/>
    <w:rsid w:val="6D27F59B"/>
    <w:rsid w:val="6D2B3757"/>
    <w:rsid w:val="6D4EEB3F"/>
    <w:rsid w:val="6D8D1C95"/>
    <w:rsid w:val="6D9EEB7F"/>
    <w:rsid w:val="6DB87B1F"/>
    <w:rsid w:val="6DE8B5FA"/>
    <w:rsid w:val="6E30B1AC"/>
    <w:rsid w:val="6E512D37"/>
    <w:rsid w:val="6EC19CB5"/>
    <w:rsid w:val="6EC26450"/>
    <w:rsid w:val="6ED416C4"/>
    <w:rsid w:val="6F03875C"/>
    <w:rsid w:val="6F0451FE"/>
    <w:rsid w:val="6F0D2A3A"/>
    <w:rsid w:val="6F32AF34"/>
    <w:rsid w:val="6F4D045B"/>
    <w:rsid w:val="6F855222"/>
    <w:rsid w:val="6F9EADEC"/>
    <w:rsid w:val="6FE1E9D5"/>
    <w:rsid w:val="6FF8B7CB"/>
    <w:rsid w:val="700CBA12"/>
    <w:rsid w:val="702245D3"/>
    <w:rsid w:val="70248E7F"/>
    <w:rsid w:val="7041502C"/>
    <w:rsid w:val="7045FCB0"/>
    <w:rsid w:val="7056321B"/>
    <w:rsid w:val="7070C316"/>
    <w:rsid w:val="708EAEC0"/>
    <w:rsid w:val="709D55DC"/>
    <w:rsid w:val="70BC1D20"/>
    <w:rsid w:val="70CD1289"/>
    <w:rsid w:val="70E7BC35"/>
    <w:rsid w:val="710C9395"/>
    <w:rsid w:val="713C54FF"/>
    <w:rsid w:val="715B974F"/>
    <w:rsid w:val="7184643B"/>
    <w:rsid w:val="718C0C3B"/>
    <w:rsid w:val="71984A0F"/>
    <w:rsid w:val="71AAF255"/>
    <w:rsid w:val="71DBB98F"/>
    <w:rsid w:val="723A8EA6"/>
    <w:rsid w:val="726F7701"/>
    <w:rsid w:val="726FB66D"/>
    <w:rsid w:val="727555D9"/>
    <w:rsid w:val="727D6F66"/>
    <w:rsid w:val="72A8735A"/>
    <w:rsid w:val="72CE9EFC"/>
    <w:rsid w:val="72E5DEAE"/>
    <w:rsid w:val="72F621E6"/>
    <w:rsid w:val="73075526"/>
    <w:rsid w:val="735A5866"/>
    <w:rsid w:val="7360BB7C"/>
    <w:rsid w:val="7395E0C7"/>
    <w:rsid w:val="73A11588"/>
    <w:rsid w:val="73BC35DC"/>
    <w:rsid w:val="740295E7"/>
    <w:rsid w:val="743D4C2F"/>
    <w:rsid w:val="743EC000"/>
    <w:rsid w:val="7447A1AE"/>
    <w:rsid w:val="74707679"/>
    <w:rsid w:val="74DF6A92"/>
    <w:rsid w:val="74FEDA20"/>
    <w:rsid w:val="7518A808"/>
    <w:rsid w:val="751B0762"/>
    <w:rsid w:val="7526E7EE"/>
    <w:rsid w:val="75838E9A"/>
    <w:rsid w:val="75976575"/>
    <w:rsid w:val="75CFD5B0"/>
    <w:rsid w:val="75EC89E2"/>
    <w:rsid w:val="75FA2C7B"/>
    <w:rsid w:val="75FB0471"/>
    <w:rsid w:val="75FCFFD1"/>
    <w:rsid w:val="7600A0D7"/>
    <w:rsid w:val="7606D47A"/>
    <w:rsid w:val="762F6EF2"/>
    <w:rsid w:val="763B1EEC"/>
    <w:rsid w:val="76459556"/>
    <w:rsid w:val="769F2ECF"/>
    <w:rsid w:val="76B7127A"/>
    <w:rsid w:val="770EFC6E"/>
    <w:rsid w:val="771B5833"/>
    <w:rsid w:val="77387A08"/>
    <w:rsid w:val="775A4377"/>
    <w:rsid w:val="7774F244"/>
    <w:rsid w:val="77784AA1"/>
    <w:rsid w:val="77B72107"/>
    <w:rsid w:val="77F3E239"/>
    <w:rsid w:val="780326CB"/>
    <w:rsid w:val="781A8337"/>
    <w:rsid w:val="78491E73"/>
    <w:rsid w:val="784A7465"/>
    <w:rsid w:val="786A509E"/>
    <w:rsid w:val="787DFCFC"/>
    <w:rsid w:val="78C887AB"/>
    <w:rsid w:val="79633E6C"/>
    <w:rsid w:val="7985D893"/>
    <w:rsid w:val="79994785"/>
    <w:rsid w:val="79D39882"/>
    <w:rsid w:val="79F52C88"/>
    <w:rsid w:val="7A4EADCC"/>
    <w:rsid w:val="7A5C2A6D"/>
    <w:rsid w:val="7A96B144"/>
    <w:rsid w:val="7A996A8C"/>
    <w:rsid w:val="7A9997DF"/>
    <w:rsid w:val="7AAB30C5"/>
    <w:rsid w:val="7ACD9DE3"/>
    <w:rsid w:val="7AEF6A0A"/>
    <w:rsid w:val="7AF9B5A0"/>
    <w:rsid w:val="7AFD63B7"/>
    <w:rsid w:val="7B2DCD26"/>
    <w:rsid w:val="7B420B62"/>
    <w:rsid w:val="7B5FA30C"/>
    <w:rsid w:val="7B886C10"/>
    <w:rsid w:val="7B8B68EC"/>
    <w:rsid w:val="7B916C4C"/>
    <w:rsid w:val="7BA792DB"/>
    <w:rsid w:val="7BAD9EE1"/>
    <w:rsid w:val="7BB49511"/>
    <w:rsid w:val="7BDA29C8"/>
    <w:rsid w:val="7CE1BFE7"/>
    <w:rsid w:val="7CE5AB71"/>
    <w:rsid w:val="7CEB6DAA"/>
    <w:rsid w:val="7CF58B2E"/>
    <w:rsid w:val="7D534EAA"/>
    <w:rsid w:val="7D68C0CD"/>
    <w:rsid w:val="7DAE3264"/>
    <w:rsid w:val="7DAF5530"/>
    <w:rsid w:val="7DC04F15"/>
    <w:rsid w:val="7DFD5809"/>
    <w:rsid w:val="7DFD63CF"/>
    <w:rsid w:val="7E318490"/>
    <w:rsid w:val="7E3A1C5B"/>
    <w:rsid w:val="7E75E608"/>
    <w:rsid w:val="7E78A747"/>
    <w:rsid w:val="7E956CF6"/>
    <w:rsid w:val="7EB9A27D"/>
    <w:rsid w:val="7EC800E0"/>
    <w:rsid w:val="7ECA3D5F"/>
    <w:rsid w:val="7EE59A44"/>
    <w:rsid w:val="7EFA6880"/>
    <w:rsid w:val="7F1F5929"/>
    <w:rsid w:val="7F51C90B"/>
    <w:rsid w:val="7F842413"/>
    <w:rsid w:val="7F98EC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CFCC"/>
  <w15:chartTrackingRefBased/>
  <w15:docId w15:val="{153DFC14-D85B-42CB-926C-241AAA67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BC"/>
    <w:pPr>
      <w:spacing w:after="240" w:line="240" w:lineRule="auto"/>
    </w:pPr>
    <w:rPr>
      <w:rFonts w:ascii="Calibri" w:hAnsi="Calibri" w:cs="Times New Roman"/>
      <w:szCs w:val="21"/>
    </w:rPr>
  </w:style>
  <w:style w:type="paragraph" w:styleId="Heading1">
    <w:name w:val="heading 1"/>
    <w:basedOn w:val="Normal"/>
    <w:next w:val="Normal"/>
    <w:link w:val="Heading1Char"/>
    <w:uiPriority w:val="9"/>
    <w:qFormat/>
    <w:rsid w:val="002C0356"/>
    <w:pPr>
      <w:keepNext/>
      <w:keepLines/>
      <w:spacing w:before="240" w:after="120"/>
      <w:outlineLvl w:val="0"/>
    </w:pPr>
    <w:rPr>
      <w:rFonts w:eastAsiaTheme="majorEastAsia" w:cstheme="majorBidi"/>
      <w:bCs/>
      <w:noProof/>
      <w:color w:val="4E5B61"/>
      <w:sz w:val="40"/>
      <w:szCs w:val="28"/>
      <w:lang w:eastAsia="en-NZ"/>
    </w:rPr>
  </w:style>
  <w:style w:type="paragraph" w:styleId="Heading2">
    <w:name w:val="heading 2"/>
    <w:basedOn w:val="Normal"/>
    <w:next w:val="Normal"/>
    <w:link w:val="Heading2Char"/>
    <w:uiPriority w:val="9"/>
    <w:qFormat/>
    <w:rsid w:val="002C0356"/>
    <w:pPr>
      <w:keepNext/>
      <w:keepLines/>
      <w:spacing w:before="360" w:after="120" w:line="360" w:lineRule="exact"/>
      <w:outlineLvl w:val="1"/>
    </w:pPr>
    <w:rPr>
      <w:rFonts w:eastAsiaTheme="majorEastAsia" w:cstheme="majorBidi"/>
      <w:b/>
      <w:bCs/>
      <w:color w:val="4E5B61"/>
      <w:sz w:val="34"/>
      <w:szCs w:val="32"/>
    </w:rPr>
  </w:style>
  <w:style w:type="paragraph" w:styleId="Heading3">
    <w:name w:val="heading 3"/>
    <w:basedOn w:val="Normal"/>
    <w:next w:val="Normal"/>
    <w:link w:val="Heading3Char"/>
    <w:uiPriority w:val="9"/>
    <w:qFormat/>
    <w:rsid w:val="00514471"/>
    <w:pPr>
      <w:keepNext/>
      <w:keepLines/>
      <w:spacing w:before="360" w:after="120"/>
      <w:outlineLvl w:val="2"/>
    </w:pPr>
    <w:rPr>
      <w:rFonts w:eastAsiaTheme="majorEastAsia" w:cstheme="majorBidi"/>
      <w:b/>
      <w:bCs/>
      <w:color w:val="000000" w:themeColor="text1"/>
      <w:sz w:val="30"/>
      <w:szCs w:val="26"/>
    </w:rPr>
  </w:style>
  <w:style w:type="paragraph" w:styleId="Heading4">
    <w:name w:val="heading 4"/>
    <w:basedOn w:val="Normal"/>
    <w:next w:val="Normal"/>
    <w:link w:val="Heading4Char"/>
    <w:uiPriority w:val="9"/>
    <w:qFormat/>
    <w:rsid w:val="003F0124"/>
    <w:pPr>
      <w:keepNext/>
      <w:keepLines/>
      <w:spacing w:before="240" w:after="60"/>
      <w:outlineLvl w:val="3"/>
    </w:pPr>
    <w:rPr>
      <w:rFonts w:eastAsiaTheme="majorEastAsia" w:cstheme="majorBidi"/>
      <w:b/>
      <w:bCs/>
      <w:iCs/>
      <w:sz w:val="26"/>
      <w:szCs w:val="22"/>
    </w:rPr>
  </w:style>
  <w:style w:type="paragraph" w:styleId="Heading5">
    <w:name w:val="heading 5"/>
    <w:basedOn w:val="Normal"/>
    <w:next w:val="Normal"/>
    <w:link w:val="Heading5Char"/>
    <w:uiPriority w:val="9"/>
    <w:qFormat/>
    <w:rsid w:val="00DE795F"/>
    <w:pPr>
      <w:keepNext/>
      <w:keepLines/>
      <w:spacing w:before="240" w:after="60"/>
      <w:outlineLvl w:val="4"/>
    </w:pPr>
    <w:rPr>
      <w:rFonts w:eastAsiaTheme="majorEastAsia" w:cstheme="majorBid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56"/>
    <w:rPr>
      <w:rFonts w:ascii="Calibri" w:eastAsiaTheme="majorEastAsia" w:hAnsi="Calibri" w:cstheme="majorBidi"/>
      <w:bCs/>
      <w:noProof/>
      <w:color w:val="4E5B61"/>
      <w:sz w:val="40"/>
      <w:szCs w:val="28"/>
      <w:lang w:eastAsia="en-NZ"/>
    </w:rPr>
  </w:style>
  <w:style w:type="character" w:customStyle="1" w:styleId="Heading2Char">
    <w:name w:val="Heading 2 Char"/>
    <w:basedOn w:val="DefaultParagraphFont"/>
    <w:link w:val="Heading2"/>
    <w:uiPriority w:val="9"/>
    <w:rsid w:val="002C0356"/>
    <w:rPr>
      <w:rFonts w:ascii="Calibri" w:eastAsiaTheme="majorEastAsia" w:hAnsi="Calibri" w:cstheme="majorBidi"/>
      <w:b/>
      <w:bCs/>
      <w:color w:val="4E5B61"/>
      <w:sz w:val="34"/>
      <w:szCs w:val="32"/>
    </w:rPr>
  </w:style>
  <w:style w:type="character" w:customStyle="1" w:styleId="Heading3Char">
    <w:name w:val="Heading 3 Char"/>
    <w:basedOn w:val="DefaultParagraphFont"/>
    <w:link w:val="Heading3"/>
    <w:uiPriority w:val="9"/>
    <w:rsid w:val="00514471"/>
    <w:rPr>
      <w:rFonts w:ascii="Calibri" w:eastAsiaTheme="majorEastAsia" w:hAnsi="Calibri" w:cstheme="majorBidi"/>
      <w:b/>
      <w:bCs/>
      <w:color w:val="000000" w:themeColor="text1"/>
      <w:sz w:val="30"/>
      <w:szCs w:val="26"/>
    </w:rPr>
  </w:style>
  <w:style w:type="character" w:customStyle="1" w:styleId="Heading4Char">
    <w:name w:val="Heading 4 Char"/>
    <w:basedOn w:val="DefaultParagraphFont"/>
    <w:link w:val="Heading4"/>
    <w:uiPriority w:val="9"/>
    <w:rsid w:val="003F0124"/>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E795F"/>
    <w:rPr>
      <w:rFonts w:ascii="Source Sans Pro" w:eastAsiaTheme="majorEastAsia" w:hAnsi="Source Sans Pro" w:cstheme="majorBidi"/>
      <w:i/>
    </w:rPr>
  </w:style>
  <w:style w:type="paragraph" w:customStyle="1" w:styleId="Bullet2">
    <w:name w:val="Bullet 2"/>
    <w:basedOn w:val="Bullet1"/>
    <w:qFormat/>
    <w:rsid w:val="0072067E"/>
    <w:pPr>
      <w:numPr>
        <w:numId w:val="3"/>
      </w:numPr>
      <w:ind w:left="851" w:hanging="284"/>
    </w:pPr>
  </w:style>
  <w:style w:type="paragraph" w:customStyle="1" w:styleId="Bullet1">
    <w:name w:val="Bullet 1"/>
    <w:basedOn w:val="Normal"/>
    <w:qFormat/>
    <w:rsid w:val="0072067E"/>
    <w:pPr>
      <w:numPr>
        <w:numId w:val="1"/>
      </w:numPr>
      <w:spacing w:after="120"/>
      <w:ind w:left="568" w:hanging="284"/>
    </w:pPr>
    <w:rPr>
      <w:rFonts w:cs="Arial Mäori"/>
    </w:rPr>
  </w:style>
  <w:style w:type="paragraph" w:customStyle="1" w:styleId="Copyrightinfoheadings">
    <w:name w:val="Copyright info headings"/>
    <w:basedOn w:val="Normal"/>
    <w:link w:val="CopyrightinfoheadingsChar"/>
    <w:qFormat/>
    <w:rsid w:val="003672F2"/>
    <w:pPr>
      <w:spacing w:before="120" w:after="0"/>
    </w:pPr>
    <w:rPr>
      <w:b/>
      <w:sz w:val="20"/>
    </w:rPr>
  </w:style>
  <w:style w:type="paragraph" w:customStyle="1" w:styleId="Titlesubhead">
    <w:name w:val="Title subhead"/>
    <w:basedOn w:val="Normal"/>
    <w:autoRedefine/>
    <w:rsid w:val="001E48BC"/>
    <w:pPr>
      <w:spacing w:before="240" w:after="200" w:line="276" w:lineRule="auto"/>
      <w:ind w:right="-330"/>
      <w:jc w:val="right"/>
      <w:outlineLvl w:val="0"/>
    </w:pPr>
    <w:rPr>
      <w:rFonts w:eastAsia="Calibri"/>
      <w:color w:val="4E5B61"/>
      <w:sz w:val="42"/>
    </w:rPr>
  </w:style>
  <w:style w:type="paragraph" w:customStyle="1" w:styleId="Titletext">
    <w:name w:val="Title text"/>
    <w:basedOn w:val="Normal"/>
    <w:autoRedefine/>
    <w:rsid w:val="00A02E1C"/>
    <w:pPr>
      <w:widowControl w:val="0"/>
      <w:suppressAutoHyphens/>
      <w:autoSpaceDE w:val="0"/>
      <w:autoSpaceDN w:val="0"/>
      <w:adjustRightInd w:val="0"/>
      <w:spacing w:before="240"/>
      <w:ind w:right="-330"/>
      <w:textAlignment w:val="center"/>
      <w:outlineLvl w:val="0"/>
    </w:pPr>
    <w:rPr>
      <w:rFonts w:eastAsia="Times New Roman" w:cs="Arial Mäori"/>
      <w:color w:val="4E5B61"/>
      <w:sz w:val="58"/>
      <w:szCs w:val="52"/>
      <w:lang w:val="en-GB"/>
    </w:rPr>
  </w:style>
  <w:style w:type="paragraph" w:customStyle="1" w:styleId="Copyrightinfotext">
    <w:name w:val="Copyright info text"/>
    <w:basedOn w:val="Copyrightinfoheadings"/>
    <w:qFormat/>
    <w:rsid w:val="00FD1F15"/>
    <w:pPr>
      <w:spacing w:before="0" w:after="240"/>
    </w:pPr>
    <w:rPr>
      <w:b w:val="0"/>
    </w:rPr>
  </w:style>
  <w:style w:type="paragraph" w:customStyle="1" w:styleId="Heading1numbered">
    <w:name w:val="Heading 1 numbered"/>
    <w:basedOn w:val="Heading1"/>
    <w:autoRedefine/>
    <w:qFormat/>
    <w:rsid w:val="00614385"/>
    <w:pPr>
      <w:keepNext w:val="0"/>
      <w:keepLines w:val="0"/>
      <w:widowControl w:val="0"/>
      <w:numPr>
        <w:numId w:val="2"/>
      </w:numPr>
      <w:ind w:left="-284" w:hanging="567"/>
    </w:pPr>
    <w:rPr>
      <w:sz w:val="42"/>
    </w:rPr>
  </w:style>
  <w:style w:type="paragraph" w:customStyle="1" w:styleId="Tablesandfiguresbychapterheadings">
    <w:name w:val="Tables and figures by chapter headings"/>
    <w:basedOn w:val="Normal"/>
    <w:qFormat/>
    <w:rsid w:val="00F12198"/>
    <w:pPr>
      <w:spacing w:before="480" w:after="120"/>
    </w:pPr>
    <w:rPr>
      <w:rFonts w:ascii="Source Sans Pro SemiBold" w:hAnsi="Source Sans Pro SemiBold"/>
      <w:color w:val="706F6F"/>
      <w:sz w:val="26"/>
    </w:rPr>
  </w:style>
  <w:style w:type="paragraph" w:styleId="TOC1">
    <w:name w:val="toc 1"/>
    <w:basedOn w:val="Normal"/>
    <w:next w:val="Normal"/>
    <w:autoRedefine/>
    <w:uiPriority w:val="39"/>
    <w:qFormat/>
    <w:rsid w:val="0051707D"/>
    <w:pPr>
      <w:tabs>
        <w:tab w:val="left" w:pos="284"/>
        <w:tab w:val="right" w:leader="dot" w:pos="8364"/>
      </w:tabs>
      <w:spacing w:before="240" w:after="120"/>
      <w:jc w:val="both"/>
    </w:pPr>
    <w:rPr>
      <w:rFonts w:eastAsia="Calibri"/>
      <w:b/>
      <w:bCs/>
      <w:noProof/>
    </w:rPr>
  </w:style>
  <w:style w:type="paragraph" w:styleId="TOC2">
    <w:name w:val="toc 2"/>
    <w:basedOn w:val="Normal"/>
    <w:next w:val="Normal"/>
    <w:autoRedefine/>
    <w:uiPriority w:val="39"/>
    <w:qFormat/>
    <w:rsid w:val="00940BE2"/>
    <w:pPr>
      <w:tabs>
        <w:tab w:val="left" w:pos="397"/>
        <w:tab w:val="left" w:pos="709"/>
        <w:tab w:val="right" w:leader="dot" w:pos="8364"/>
      </w:tabs>
      <w:spacing w:after="120"/>
      <w:ind w:left="284"/>
    </w:pPr>
    <w:rPr>
      <w:rFonts w:eastAsia="Calibri"/>
      <w:bCs/>
      <w:noProof/>
    </w:rPr>
  </w:style>
  <w:style w:type="paragraph" w:customStyle="1" w:styleId="Boxedtext">
    <w:name w:val="Boxed text"/>
    <w:basedOn w:val="Normal"/>
    <w:link w:val="BoxedtextChar"/>
    <w:qFormat/>
    <w:rsid w:val="00DE3C5B"/>
    <w:pPr>
      <w:shd w:val="clear" w:color="auto" w:fill="D9D9D9" w:themeFill="background1" w:themeFillShade="D9"/>
    </w:pPr>
  </w:style>
  <w:style w:type="paragraph" w:customStyle="1" w:styleId="Boxedtextheading">
    <w:name w:val="Boxed text heading"/>
    <w:basedOn w:val="Boxedtext"/>
    <w:qFormat/>
    <w:rsid w:val="003F0124"/>
    <w:pPr>
      <w:spacing w:after="120"/>
    </w:pPr>
    <w:rPr>
      <w:b/>
      <w:sz w:val="24"/>
    </w:rPr>
  </w:style>
  <w:style w:type="paragraph" w:customStyle="1" w:styleId="Figureandtablenumbers">
    <w:name w:val="Figure and table numbers"/>
    <w:basedOn w:val="Normal"/>
    <w:next w:val="Normal"/>
    <w:qFormat/>
    <w:rsid w:val="003F0124"/>
    <w:pPr>
      <w:spacing w:before="360" w:after="0" w:line="270" w:lineRule="exact"/>
    </w:pPr>
    <w:rPr>
      <w:b/>
      <w:sz w:val="23"/>
    </w:rPr>
  </w:style>
  <w:style w:type="paragraph" w:styleId="FootnoteText">
    <w:name w:val="footnote text"/>
    <w:basedOn w:val="Normal"/>
    <w:link w:val="FootnoteTextChar"/>
    <w:uiPriority w:val="99"/>
    <w:unhideWhenUsed/>
    <w:rsid w:val="0055687C"/>
    <w:pPr>
      <w:spacing w:before="120" w:after="120"/>
    </w:pPr>
    <w:rPr>
      <w:sz w:val="18"/>
    </w:rPr>
  </w:style>
  <w:style w:type="character" w:customStyle="1" w:styleId="FootnoteTextChar">
    <w:name w:val="Footnote Text Char"/>
    <w:basedOn w:val="DefaultParagraphFont"/>
    <w:link w:val="FootnoteText"/>
    <w:uiPriority w:val="99"/>
    <w:rsid w:val="0055687C"/>
    <w:rPr>
      <w:rFonts w:ascii="Source Sans Pro" w:hAnsi="Source Sans Pro" w:cs="Times New Roman"/>
      <w:sz w:val="18"/>
      <w:szCs w:val="21"/>
    </w:rPr>
  </w:style>
  <w:style w:type="paragraph" w:customStyle="1" w:styleId="References">
    <w:name w:val="References"/>
    <w:basedOn w:val="Normal"/>
    <w:qFormat/>
    <w:rsid w:val="00940BE2"/>
    <w:pPr>
      <w:spacing w:line="220" w:lineRule="exact"/>
    </w:pPr>
  </w:style>
  <w:style w:type="paragraph" w:customStyle="1" w:styleId="Boxedtextbullet">
    <w:name w:val="Boxed text bullet"/>
    <w:basedOn w:val="Normal"/>
    <w:qFormat/>
    <w:rsid w:val="00A3361E"/>
    <w:pPr>
      <w:numPr>
        <w:numId w:val="4"/>
      </w:numPr>
      <w:shd w:val="clear" w:color="auto" w:fill="D9D9D9" w:themeFill="background1" w:themeFillShade="D9"/>
      <w:spacing w:after="120"/>
      <w:ind w:left="284" w:hanging="284"/>
    </w:pPr>
  </w:style>
  <w:style w:type="character" w:customStyle="1" w:styleId="Normalbold">
    <w:name w:val="Normal bold"/>
    <w:basedOn w:val="DefaultParagraphFont"/>
    <w:rsid w:val="003672F2"/>
    <w:rPr>
      <w:rFonts w:ascii="Calibri" w:hAnsi="Calibri"/>
      <w:b/>
      <w:bCs/>
      <w:sz w:val="22"/>
    </w:rPr>
  </w:style>
  <w:style w:type="paragraph" w:customStyle="1" w:styleId="Figuretitle-forhiding">
    <w:name w:val="Figure title - for hiding"/>
    <w:basedOn w:val="Normal"/>
    <w:next w:val="Normal"/>
    <w:qFormat/>
    <w:rsid w:val="008B2DFE"/>
    <w:pPr>
      <w:spacing w:after="0"/>
    </w:pPr>
    <w:rPr>
      <w:color w:val="FFFFFF" w:themeColor="background1"/>
      <w:sz w:val="10"/>
    </w:rPr>
  </w:style>
  <w:style w:type="paragraph" w:customStyle="1" w:styleId="Tabletitle-forhiding">
    <w:name w:val="Table title - for hiding"/>
    <w:basedOn w:val="Normal"/>
    <w:qFormat/>
    <w:rsid w:val="00450C56"/>
    <w:pPr>
      <w:spacing w:after="0"/>
    </w:pPr>
    <w:rPr>
      <w:color w:val="FFFFFF" w:themeColor="background1"/>
      <w:sz w:val="10"/>
    </w:rPr>
  </w:style>
  <w:style w:type="character" w:customStyle="1" w:styleId="Normalitalic">
    <w:name w:val="Normal italic"/>
    <w:basedOn w:val="DefaultParagraphFont"/>
    <w:rsid w:val="004608FB"/>
    <w:rPr>
      <w:rFonts w:ascii="Source Sans Pro" w:eastAsia="Calibri" w:hAnsi="Source Sans Pro"/>
      <w:b w:val="0"/>
      <w:bCs/>
      <w:i/>
      <w:iCs/>
      <w:sz w:val="22"/>
      <w:szCs w:val="22"/>
    </w:rPr>
  </w:style>
  <w:style w:type="table" w:styleId="TableGrid">
    <w:name w:val="Table Grid"/>
    <w:basedOn w:val="TableNormal"/>
    <w:uiPriority w:val="39"/>
    <w:rsid w:val="00940BE2"/>
    <w:pPr>
      <w:spacing w:after="0" w:line="240" w:lineRule="auto"/>
    </w:pPr>
    <w:rPr>
      <w:rFonts w:ascii="Arial Mäori" w:hAnsi="Arial Mäori" w:cs="Times New Roman"/>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tablecolumnheading-leftaligned">
    <w:name w:val="Number table column heading - left aligned"/>
    <w:basedOn w:val="Normal"/>
    <w:rsid w:val="00DE3C5B"/>
    <w:pPr>
      <w:spacing w:before="40" w:after="40"/>
    </w:pPr>
    <w:rPr>
      <w:rFonts w:eastAsia="Times New Roman"/>
      <w:sz w:val="18"/>
    </w:rPr>
  </w:style>
  <w:style w:type="paragraph" w:customStyle="1" w:styleId="Numbertablecolumnheading-centered">
    <w:name w:val="Number table column heading - centered"/>
    <w:basedOn w:val="Normal"/>
    <w:rsid w:val="00DE3C5B"/>
    <w:pPr>
      <w:spacing w:before="40" w:after="40"/>
      <w:jc w:val="center"/>
    </w:pPr>
    <w:rPr>
      <w:rFonts w:eastAsia="Times New Roman"/>
      <w:sz w:val="18"/>
    </w:rPr>
  </w:style>
  <w:style w:type="paragraph" w:customStyle="1" w:styleId="Wordtablecolumnheadings-leftaligned">
    <w:name w:val="Word table column headings - left aligned"/>
    <w:basedOn w:val="Normal"/>
    <w:qFormat/>
    <w:rsid w:val="00940BE2"/>
    <w:pPr>
      <w:spacing w:before="120" w:after="0"/>
    </w:pPr>
    <w:rPr>
      <w:b/>
    </w:rPr>
  </w:style>
  <w:style w:type="paragraph" w:customStyle="1" w:styleId="Wordtabletext-leftaligned">
    <w:name w:val="Word table text - left aligned"/>
    <w:basedOn w:val="Normal"/>
    <w:qFormat/>
    <w:rsid w:val="00940BE2"/>
    <w:pPr>
      <w:spacing w:before="40" w:after="40" w:line="260" w:lineRule="exact"/>
    </w:pPr>
  </w:style>
  <w:style w:type="paragraph" w:customStyle="1" w:styleId="Bullet3">
    <w:name w:val="Bullet 3"/>
    <w:basedOn w:val="Normal"/>
    <w:qFormat/>
    <w:rsid w:val="0072067E"/>
    <w:pPr>
      <w:numPr>
        <w:numId w:val="5"/>
      </w:numPr>
      <w:spacing w:after="120"/>
      <w:ind w:left="1134" w:hanging="283"/>
    </w:pPr>
  </w:style>
  <w:style w:type="paragraph" w:customStyle="1" w:styleId="Headertitle">
    <w:name w:val="Header title"/>
    <w:basedOn w:val="Normal"/>
    <w:qFormat/>
    <w:rsid w:val="0072067E"/>
    <w:pPr>
      <w:tabs>
        <w:tab w:val="center" w:pos="4513"/>
        <w:tab w:val="right" w:pos="9026"/>
      </w:tabs>
      <w:jc w:val="right"/>
    </w:pPr>
    <w:rPr>
      <w:color w:val="706F6F"/>
      <w:sz w:val="19"/>
    </w:rPr>
  </w:style>
  <w:style w:type="paragraph" w:customStyle="1" w:styleId="Bulletintroduction">
    <w:name w:val="Bullet introduction"/>
    <w:basedOn w:val="Normal"/>
    <w:link w:val="BulletintroductionChar"/>
    <w:qFormat/>
    <w:rsid w:val="00DE3C5B"/>
    <w:pPr>
      <w:spacing w:after="60"/>
    </w:pPr>
  </w:style>
  <w:style w:type="character" w:customStyle="1" w:styleId="BulletintroductionChar">
    <w:name w:val="Bullet introduction Char"/>
    <w:basedOn w:val="DefaultParagraphFont"/>
    <w:link w:val="Bulletintroduction"/>
    <w:rsid w:val="00DE3C5B"/>
    <w:rPr>
      <w:rFonts w:ascii="Source Sans Pro" w:hAnsi="Source Sans Pro" w:cs="Times New Roman"/>
      <w:szCs w:val="21"/>
    </w:rPr>
  </w:style>
  <w:style w:type="paragraph" w:styleId="Footer">
    <w:name w:val="footer"/>
    <w:basedOn w:val="Normal"/>
    <w:link w:val="FooterChar"/>
    <w:uiPriority w:val="99"/>
    <w:unhideWhenUsed/>
    <w:rsid w:val="00940BE2"/>
    <w:pPr>
      <w:tabs>
        <w:tab w:val="center" w:pos="3752"/>
      </w:tabs>
    </w:pPr>
    <w:rPr>
      <w:sz w:val="18"/>
      <w:szCs w:val="18"/>
    </w:rPr>
  </w:style>
  <w:style w:type="character" w:customStyle="1" w:styleId="FooterChar">
    <w:name w:val="Footer Char"/>
    <w:basedOn w:val="DefaultParagraphFont"/>
    <w:link w:val="Footer"/>
    <w:uiPriority w:val="99"/>
    <w:rsid w:val="00940BE2"/>
    <w:rPr>
      <w:rFonts w:ascii="Arial" w:hAnsi="Arial" w:cs="Times New Roman"/>
      <w:sz w:val="18"/>
      <w:szCs w:val="18"/>
    </w:rPr>
  </w:style>
  <w:style w:type="character" w:styleId="Hyperlink">
    <w:name w:val="Hyperlink"/>
    <w:basedOn w:val="DefaultParagraphFont"/>
    <w:uiPriority w:val="99"/>
    <w:unhideWhenUsed/>
    <w:rsid w:val="0066694F"/>
    <w:rPr>
      <w:rFonts w:asciiTheme="minorHAnsi" w:hAnsiTheme="minorHAnsi"/>
      <w:color w:val="0001FF"/>
      <w:sz w:val="22"/>
      <w:u w:val="single"/>
    </w:rPr>
  </w:style>
  <w:style w:type="paragraph" w:customStyle="1" w:styleId="Heading1b">
    <w:name w:val="Heading 1b"/>
    <w:basedOn w:val="Heading1"/>
    <w:link w:val="Heading1bChar"/>
    <w:qFormat/>
    <w:rsid w:val="00B810F6"/>
    <w:pPr>
      <w:ind w:left="-357"/>
    </w:pPr>
  </w:style>
  <w:style w:type="paragraph" w:customStyle="1" w:styleId="Tabletitle1">
    <w:name w:val="Table title 1"/>
    <w:basedOn w:val="Normal"/>
    <w:qFormat/>
    <w:rsid w:val="003F0124"/>
    <w:pPr>
      <w:spacing w:after="20"/>
    </w:pPr>
    <w:rPr>
      <w:b/>
      <w:sz w:val="24"/>
    </w:rPr>
  </w:style>
  <w:style w:type="character" w:customStyle="1" w:styleId="Heading1bChar">
    <w:name w:val="Heading 1b Char"/>
    <w:basedOn w:val="Heading1Char"/>
    <w:link w:val="Heading1b"/>
    <w:rsid w:val="00B810F6"/>
    <w:rPr>
      <w:rFonts w:ascii="Source Sans Pro" w:eastAsiaTheme="majorEastAsia" w:hAnsi="Source Sans Pro" w:cstheme="majorBidi"/>
      <w:bCs/>
      <w:noProof/>
      <w:color w:val="EC6608"/>
      <w:sz w:val="40"/>
      <w:szCs w:val="28"/>
      <w:lang w:eastAsia="en-NZ"/>
    </w:rPr>
  </w:style>
  <w:style w:type="paragraph" w:customStyle="1" w:styleId="Tabletitle2">
    <w:name w:val="Table title 2"/>
    <w:basedOn w:val="Tabletitle1"/>
    <w:qFormat/>
    <w:rsid w:val="00940BE2"/>
    <w:rPr>
      <w:b w:val="0"/>
    </w:rPr>
  </w:style>
  <w:style w:type="paragraph" w:customStyle="1" w:styleId="Tabletitle3">
    <w:name w:val="Table title 3"/>
    <w:basedOn w:val="Tabletitle2"/>
    <w:qFormat/>
    <w:rsid w:val="00940BE2"/>
    <w:pPr>
      <w:spacing w:after="40"/>
    </w:pPr>
    <w:rPr>
      <w:sz w:val="19"/>
      <w:szCs w:val="19"/>
    </w:rPr>
  </w:style>
  <w:style w:type="paragraph" w:customStyle="1" w:styleId="Numberedlist">
    <w:name w:val="Numbered list"/>
    <w:basedOn w:val="ListParagraph"/>
    <w:link w:val="NumberedlistChar"/>
    <w:qFormat/>
    <w:rsid w:val="00236F71"/>
    <w:pPr>
      <w:numPr>
        <w:numId w:val="6"/>
      </w:numPr>
      <w:spacing w:after="120"/>
      <w:ind w:left="714" w:hanging="357"/>
    </w:pPr>
  </w:style>
  <w:style w:type="character" w:customStyle="1" w:styleId="NumberedlistChar">
    <w:name w:val="Numbered list Char"/>
    <w:basedOn w:val="DefaultParagraphFont"/>
    <w:link w:val="Numberedlist"/>
    <w:rsid w:val="00236F71"/>
    <w:rPr>
      <w:rFonts w:ascii="Source Sans Pro" w:hAnsi="Source Sans Pro" w:cs="Times New Roman"/>
      <w:sz w:val="21"/>
      <w:szCs w:val="21"/>
    </w:rPr>
  </w:style>
  <w:style w:type="paragraph" w:customStyle="1" w:styleId="Tabtext">
    <w:name w:val="Tab text"/>
    <w:basedOn w:val="Normal"/>
    <w:link w:val="TabtextChar"/>
    <w:qFormat/>
    <w:rsid w:val="00535270"/>
    <w:pPr>
      <w:ind w:left="709"/>
    </w:pPr>
  </w:style>
  <w:style w:type="character" w:customStyle="1" w:styleId="TabtextChar">
    <w:name w:val="Tab text Char"/>
    <w:basedOn w:val="DefaultParagraphFont"/>
    <w:link w:val="Tabtext"/>
    <w:rsid w:val="00535270"/>
    <w:rPr>
      <w:rFonts w:ascii="Source Sans Pro" w:hAnsi="Source Sans Pro" w:cs="Times New Roman"/>
      <w:szCs w:val="21"/>
    </w:rPr>
  </w:style>
  <w:style w:type="character" w:customStyle="1" w:styleId="Copyrightinfotextitalics">
    <w:name w:val="Copyright info text italics"/>
    <w:basedOn w:val="Normalitalic"/>
    <w:rsid w:val="00940BE2"/>
    <w:rPr>
      <w:rFonts w:ascii="Source Sans Pro" w:eastAsia="Calibri" w:hAnsi="Source Sans Pro"/>
      <w:b w:val="0"/>
      <w:bCs w:val="0"/>
      <w:i/>
      <w:iCs/>
      <w:sz w:val="20"/>
      <w:szCs w:val="22"/>
    </w:rPr>
  </w:style>
  <w:style w:type="paragraph" w:customStyle="1" w:styleId="Copyrightinfohyperlink">
    <w:name w:val="Copyright info hyperlink"/>
    <w:basedOn w:val="Copyrightinfoheadings"/>
    <w:link w:val="CopyrightinfohyperlinkChar"/>
    <w:qFormat/>
    <w:rsid w:val="00A31354"/>
    <w:pPr>
      <w:spacing w:before="0" w:line="240" w:lineRule="exact"/>
    </w:pPr>
    <w:rPr>
      <w:b w:val="0"/>
      <w:color w:val="0000FF"/>
      <w:u w:val="single"/>
    </w:rPr>
  </w:style>
  <w:style w:type="character" w:customStyle="1" w:styleId="CopyrightinfoheadingsChar">
    <w:name w:val="Copyright info headings Char"/>
    <w:basedOn w:val="DefaultParagraphFont"/>
    <w:link w:val="Copyrightinfoheadings"/>
    <w:rsid w:val="003672F2"/>
    <w:rPr>
      <w:rFonts w:ascii="Calibri" w:hAnsi="Calibri" w:cs="Times New Roman"/>
      <w:b/>
      <w:sz w:val="20"/>
      <w:szCs w:val="21"/>
    </w:rPr>
  </w:style>
  <w:style w:type="character" w:customStyle="1" w:styleId="CopyrightinfohyperlinkChar">
    <w:name w:val="Copyright info hyperlink Char"/>
    <w:basedOn w:val="CopyrightinfoheadingsChar"/>
    <w:link w:val="Copyrightinfohyperlink"/>
    <w:rsid w:val="00A31354"/>
    <w:rPr>
      <w:rFonts w:ascii="Source Sans Pro" w:hAnsi="Source Sans Pro" w:cs="Times New Roman"/>
      <w:b w:val="0"/>
      <w:color w:val="0000FF"/>
      <w:sz w:val="20"/>
      <w:szCs w:val="21"/>
      <w:u w:val="single"/>
    </w:rPr>
  </w:style>
  <w:style w:type="paragraph" w:styleId="ListParagraph">
    <w:name w:val="List Paragraph"/>
    <w:basedOn w:val="Normal"/>
    <w:uiPriority w:val="34"/>
    <w:qFormat/>
    <w:rsid w:val="00940BE2"/>
    <w:pPr>
      <w:ind w:left="720"/>
      <w:contextualSpacing/>
    </w:pPr>
  </w:style>
  <w:style w:type="paragraph" w:styleId="Header">
    <w:name w:val="header"/>
    <w:basedOn w:val="Normal"/>
    <w:link w:val="HeaderChar"/>
    <w:uiPriority w:val="99"/>
    <w:unhideWhenUsed/>
    <w:rsid w:val="00207E37"/>
    <w:pPr>
      <w:tabs>
        <w:tab w:val="center" w:pos="4513"/>
        <w:tab w:val="right" w:pos="9026"/>
      </w:tabs>
      <w:spacing w:after="0"/>
    </w:pPr>
  </w:style>
  <w:style w:type="character" w:customStyle="1" w:styleId="HeaderChar">
    <w:name w:val="Header Char"/>
    <w:basedOn w:val="DefaultParagraphFont"/>
    <w:link w:val="Header"/>
    <w:uiPriority w:val="99"/>
    <w:rsid w:val="00207E37"/>
    <w:rPr>
      <w:rFonts w:ascii="Arial" w:hAnsi="Arial" w:cs="Times New Roman"/>
      <w:sz w:val="21"/>
      <w:szCs w:val="21"/>
    </w:rPr>
  </w:style>
  <w:style w:type="paragraph" w:styleId="BalloonText">
    <w:name w:val="Balloon Text"/>
    <w:basedOn w:val="Normal"/>
    <w:link w:val="BalloonTextChar"/>
    <w:uiPriority w:val="99"/>
    <w:semiHidden/>
    <w:unhideWhenUsed/>
    <w:rsid w:val="00F121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98"/>
    <w:rPr>
      <w:rFonts w:ascii="Segoe UI" w:hAnsi="Segoe UI" w:cs="Segoe UI"/>
      <w:sz w:val="18"/>
      <w:szCs w:val="18"/>
    </w:rPr>
  </w:style>
  <w:style w:type="paragraph" w:styleId="TOCHeading">
    <w:name w:val="TOC Heading"/>
    <w:basedOn w:val="Heading1"/>
    <w:next w:val="Normal"/>
    <w:uiPriority w:val="39"/>
    <w:unhideWhenUsed/>
    <w:qFormat/>
    <w:rsid w:val="00F55417"/>
    <w:pPr>
      <w:spacing w:before="360" w:line="259" w:lineRule="auto"/>
      <w:outlineLvl w:val="9"/>
    </w:pPr>
  </w:style>
  <w:style w:type="paragraph" w:styleId="TOC3">
    <w:name w:val="toc 3"/>
    <w:basedOn w:val="Normal"/>
    <w:next w:val="Normal"/>
    <w:autoRedefine/>
    <w:uiPriority w:val="39"/>
    <w:unhideWhenUsed/>
    <w:rsid w:val="00516D0F"/>
    <w:pPr>
      <w:tabs>
        <w:tab w:val="right" w:leader="dot" w:pos="8364"/>
      </w:tabs>
      <w:spacing w:after="100"/>
      <w:ind w:left="567"/>
    </w:pPr>
  </w:style>
  <w:style w:type="paragraph" w:styleId="TOC4">
    <w:name w:val="toc 4"/>
    <w:basedOn w:val="Normal"/>
    <w:next w:val="Normal"/>
    <w:autoRedefine/>
    <w:uiPriority w:val="39"/>
    <w:unhideWhenUsed/>
    <w:rsid w:val="00A64923"/>
    <w:pPr>
      <w:spacing w:after="100"/>
      <w:ind w:left="660"/>
    </w:pPr>
  </w:style>
  <w:style w:type="paragraph" w:customStyle="1" w:styleId="HeaderStatsNZ">
    <w:name w:val="Header Stats NZ"/>
    <w:basedOn w:val="Headertitle"/>
    <w:qFormat/>
    <w:rsid w:val="00A82017"/>
    <w:pPr>
      <w:jc w:val="left"/>
    </w:pPr>
  </w:style>
  <w:style w:type="paragraph" w:customStyle="1" w:styleId="Footerpagenumber">
    <w:name w:val="Footer page number"/>
    <w:basedOn w:val="Footer"/>
    <w:qFormat/>
    <w:rsid w:val="00BA1D46"/>
    <w:pPr>
      <w:jc w:val="center"/>
    </w:pPr>
  </w:style>
  <w:style w:type="paragraph" w:customStyle="1" w:styleId="FootnoteText1">
    <w:name w:val="Footnote Text1"/>
    <w:basedOn w:val="Normal"/>
    <w:qFormat/>
    <w:rsid w:val="00D40633"/>
    <w:pPr>
      <w:spacing w:before="120" w:after="120"/>
    </w:pPr>
    <w:rPr>
      <w:bCs/>
      <w:sz w:val="18"/>
    </w:rPr>
  </w:style>
  <w:style w:type="paragraph" w:customStyle="1" w:styleId="Boxtextbulletintroduction">
    <w:name w:val="Box text bullet introduction"/>
    <w:basedOn w:val="Boxedtext"/>
    <w:link w:val="BoxtextbulletintroductionChar"/>
    <w:qFormat/>
    <w:rsid w:val="00DE3C5B"/>
    <w:pPr>
      <w:spacing w:after="60"/>
    </w:pPr>
  </w:style>
  <w:style w:type="paragraph" w:styleId="NormalWeb">
    <w:name w:val="Normal (Web)"/>
    <w:basedOn w:val="Normal"/>
    <w:uiPriority w:val="99"/>
    <w:semiHidden/>
    <w:unhideWhenUsed/>
    <w:rsid w:val="007308D6"/>
    <w:pPr>
      <w:spacing w:before="100" w:beforeAutospacing="1" w:after="100" w:afterAutospacing="1"/>
    </w:pPr>
    <w:rPr>
      <w:rFonts w:ascii="Times New Roman" w:eastAsia="Times New Roman" w:hAnsi="Times New Roman"/>
      <w:sz w:val="24"/>
      <w:szCs w:val="24"/>
      <w:lang w:eastAsia="en-NZ"/>
    </w:rPr>
  </w:style>
  <w:style w:type="character" w:customStyle="1" w:styleId="BoxedtextChar">
    <w:name w:val="Boxed text Char"/>
    <w:basedOn w:val="DefaultParagraphFont"/>
    <w:link w:val="Boxedtext"/>
    <w:rsid w:val="00DE3C5B"/>
    <w:rPr>
      <w:rFonts w:ascii="Source Sans Pro" w:hAnsi="Source Sans Pro" w:cs="Times New Roman"/>
      <w:szCs w:val="21"/>
      <w:shd w:val="clear" w:color="auto" w:fill="D9D9D9" w:themeFill="background1" w:themeFillShade="D9"/>
    </w:rPr>
  </w:style>
  <w:style w:type="character" w:customStyle="1" w:styleId="BoxtextbulletintroductionChar">
    <w:name w:val="Box text bullet introduction Char"/>
    <w:basedOn w:val="BoxedtextChar"/>
    <w:link w:val="Boxtextbulletintroduction"/>
    <w:rsid w:val="00DE3C5B"/>
    <w:rPr>
      <w:rFonts w:ascii="Source Sans Pro" w:hAnsi="Source Sans Pro" w:cs="Times New Roman"/>
      <w:szCs w:val="21"/>
      <w:shd w:val="clear" w:color="auto" w:fill="D9D9D9" w:themeFill="background1" w:themeFillShade="D9"/>
    </w:rPr>
  </w:style>
  <w:style w:type="character" w:styleId="Strong">
    <w:name w:val="Strong"/>
    <w:basedOn w:val="DefaultParagraphFont"/>
    <w:uiPriority w:val="22"/>
    <w:qFormat/>
    <w:rsid w:val="007308D6"/>
    <w:rPr>
      <w:b/>
      <w:bCs/>
    </w:rPr>
  </w:style>
  <w:style w:type="paragraph" w:customStyle="1" w:styleId="Tableandfigureheader">
    <w:name w:val="Table and figure header"/>
    <w:basedOn w:val="Heading1"/>
    <w:link w:val="TableandfigureheaderChar"/>
    <w:qFormat/>
    <w:rsid w:val="002C0356"/>
  </w:style>
  <w:style w:type="paragraph" w:customStyle="1" w:styleId="Listoftablesandfiguresheader">
    <w:name w:val="List of tables and figures header"/>
    <w:next w:val="Normal"/>
    <w:link w:val="ListoftablesandfiguresheaderChar"/>
    <w:qFormat/>
    <w:rsid w:val="00C51F8B"/>
    <w:pPr>
      <w:spacing w:before="360" w:after="120" w:line="240" w:lineRule="auto"/>
      <w:outlineLvl w:val="0"/>
    </w:pPr>
    <w:rPr>
      <w:rFonts w:ascii="Calibri" w:eastAsiaTheme="majorEastAsia" w:hAnsi="Calibri" w:cstheme="majorBidi"/>
      <w:bCs/>
      <w:color w:val="4E5B61"/>
      <w:sz w:val="34"/>
      <w:szCs w:val="32"/>
    </w:rPr>
  </w:style>
  <w:style w:type="character" w:customStyle="1" w:styleId="TableandfigureheaderChar">
    <w:name w:val="Table and figure header Char"/>
    <w:basedOn w:val="Heading1Char"/>
    <w:link w:val="Tableandfigureheader"/>
    <w:rsid w:val="002C0356"/>
    <w:rPr>
      <w:rFonts w:ascii="Calibri" w:eastAsiaTheme="majorEastAsia" w:hAnsi="Calibri" w:cstheme="majorBidi"/>
      <w:bCs/>
      <w:noProof/>
      <w:color w:val="4E5B61"/>
      <w:sz w:val="40"/>
      <w:szCs w:val="28"/>
      <w:lang w:eastAsia="en-NZ"/>
    </w:rPr>
  </w:style>
  <w:style w:type="character" w:customStyle="1" w:styleId="ListoftablesandfiguresheaderChar">
    <w:name w:val="List of tables and figures header Char"/>
    <w:basedOn w:val="Heading2Char"/>
    <w:link w:val="Listoftablesandfiguresheader"/>
    <w:rsid w:val="00C51F8B"/>
    <w:rPr>
      <w:rFonts w:ascii="Calibri" w:eastAsiaTheme="majorEastAsia" w:hAnsi="Calibri" w:cstheme="majorBidi"/>
      <w:b w:val="0"/>
      <w:bCs/>
      <w:color w:val="4E5B61"/>
      <w:sz w:val="34"/>
      <w:szCs w:val="32"/>
    </w:rPr>
  </w:style>
  <w:style w:type="paragraph" w:styleId="TableofFigures">
    <w:name w:val="table of figures"/>
    <w:basedOn w:val="Normal"/>
    <w:next w:val="Normal"/>
    <w:uiPriority w:val="99"/>
    <w:unhideWhenUsed/>
    <w:rsid w:val="001D36E8"/>
    <w:pPr>
      <w:spacing w:after="0"/>
    </w:pPr>
  </w:style>
  <w:style w:type="character" w:styleId="FollowedHyperlink">
    <w:name w:val="FollowedHyperlink"/>
    <w:basedOn w:val="DefaultParagraphFont"/>
    <w:uiPriority w:val="99"/>
    <w:semiHidden/>
    <w:unhideWhenUsed/>
    <w:rsid w:val="006176EC"/>
    <w:rPr>
      <w:color w:val="954F72" w:themeColor="followedHyperlink"/>
      <w:u w:val="single"/>
    </w:rPr>
  </w:style>
  <w:style w:type="paragraph" w:styleId="Revision">
    <w:name w:val="Revision"/>
    <w:hidden/>
    <w:uiPriority w:val="99"/>
    <w:semiHidden/>
    <w:rsid w:val="00BB1555"/>
    <w:pPr>
      <w:spacing w:after="0" w:line="240" w:lineRule="auto"/>
    </w:pPr>
    <w:rPr>
      <w:rFonts w:ascii="Calibri" w:hAnsi="Calibri" w:cs="Times New Roman"/>
      <w:szCs w:val="21"/>
    </w:rPr>
  </w:style>
  <w:style w:type="character" w:styleId="CommentReference">
    <w:name w:val="annotation reference"/>
    <w:basedOn w:val="DefaultParagraphFont"/>
    <w:uiPriority w:val="99"/>
    <w:semiHidden/>
    <w:unhideWhenUsed/>
    <w:rsid w:val="0083340D"/>
    <w:rPr>
      <w:sz w:val="16"/>
      <w:szCs w:val="16"/>
    </w:rPr>
  </w:style>
  <w:style w:type="paragraph" w:styleId="CommentText">
    <w:name w:val="annotation text"/>
    <w:basedOn w:val="Normal"/>
    <w:link w:val="CommentTextChar"/>
    <w:uiPriority w:val="99"/>
    <w:unhideWhenUsed/>
    <w:rsid w:val="0083340D"/>
    <w:rPr>
      <w:sz w:val="20"/>
      <w:szCs w:val="20"/>
    </w:rPr>
  </w:style>
  <w:style w:type="character" w:customStyle="1" w:styleId="CommentTextChar">
    <w:name w:val="Comment Text Char"/>
    <w:basedOn w:val="DefaultParagraphFont"/>
    <w:link w:val="CommentText"/>
    <w:uiPriority w:val="99"/>
    <w:rsid w:val="0083340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340D"/>
    <w:rPr>
      <w:b/>
      <w:bCs/>
    </w:rPr>
  </w:style>
  <w:style w:type="character" w:customStyle="1" w:styleId="CommentSubjectChar">
    <w:name w:val="Comment Subject Char"/>
    <w:basedOn w:val="CommentTextChar"/>
    <w:link w:val="CommentSubject"/>
    <w:uiPriority w:val="99"/>
    <w:semiHidden/>
    <w:rsid w:val="0083340D"/>
    <w:rPr>
      <w:rFonts w:ascii="Calibri" w:hAnsi="Calibri" w:cs="Times New Roman"/>
      <w:b/>
      <w:bCs/>
      <w:sz w:val="20"/>
      <w:szCs w:val="20"/>
    </w:rPr>
  </w:style>
  <w:style w:type="paragraph" w:styleId="NoSpacing">
    <w:name w:val="No Spacing"/>
    <w:uiPriority w:val="1"/>
    <w:qFormat/>
    <w:rsid w:val="00AD4573"/>
    <w:pPr>
      <w:spacing w:after="0" w:line="240" w:lineRule="auto"/>
    </w:pPr>
    <w:rPr>
      <w:rFonts w:eastAsiaTheme="minorEastAsia"/>
    </w:rPr>
  </w:style>
  <w:style w:type="character" w:styleId="FootnoteReference">
    <w:name w:val="footnote reference"/>
    <w:basedOn w:val="DefaultParagraphFont"/>
    <w:uiPriority w:val="99"/>
    <w:unhideWhenUsed/>
    <w:rsid w:val="008F705F"/>
    <w:rPr>
      <w:vertAlign w:val="superscript"/>
    </w:rPr>
  </w:style>
  <w:style w:type="paragraph" w:customStyle="1" w:styleId="Hyperlinkedcontentslist">
    <w:name w:val="Hyperlinked contents list"/>
    <w:basedOn w:val="ListParagraph"/>
    <w:uiPriority w:val="1"/>
    <w:rsid w:val="00D56BD0"/>
    <w:pPr>
      <w:numPr>
        <w:numId w:val="11"/>
      </w:numPr>
      <w:spacing w:after="160" w:line="259" w:lineRule="auto"/>
      <w:ind w:left="907" w:hanging="510"/>
    </w:pPr>
    <w:rPr>
      <w:rFonts w:asciiTheme="minorHAnsi" w:eastAsiaTheme="minorEastAsia" w:hAnsiTheme="minorHAnsi" w:cstheme="minorBidi"/>
      <w:color w:val="006666"/>
      <w:szCs w:val="22"/>
      <w:u w:val="single"/>
    </w:rPr>
  </w:style>
  <w:style w:type="character" w:styleId="UnresolvedMention">
    <w:name w:val="Unresolved Mention"/>
    <w:basedOn w:val="DefaultParagraphFont"/>
    <w:uiPriority w:val="99"/>
    <w:semiHidden/>
    <w:unhideWhenUsed/>
    <w:rsid w:val="00AF351F"/>
    <w:rPr>
      <w:color w:val="605E5C"/>
      <w:shd w:val="clear" w:color="auto" w:fill="E1DFDD"/>
    </w:rPr>
  </w:style>
  <w:style w:type="character" w:styleId="Mention">
    <w:name w:val="Mention"/>
    <w:basedOn w:val="DefaultParagraphFont"/>
    <w:uiPriority w:val="99"/>
    <w:unhideWhenUsed/>
    <w:rsid w:val="002D4C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9806">
      <w:bodyDiv w:val="1"/>
      <w:marLeft w:val="0"/>
      <w:marRight w:val="0"/>
      <w:marTop w:val="0"/>
      <w:marBottom w:val="0"/>
      <w:divBdr>
        <w:top w:val="none" w:sz="0" w:space="0" w:color="auto"/>
        <w:left w:val="none" w:sz="0" w:space="0" w:color="auto"/>
        <w:bottom w:val="none" w:sz="0" w:space="0" w:color="auto"/>
        <w:right w:val="none" w:sz="0" w:space="0" w:color="auto"/>
      </w:divBdr>
    </w:div>
    <w:div w:id="285356827">
      <w:bodyDiv w:val="1"/>
      <w:marLeft w:val="0"/>
      <w:marRight w:val="0"/>
      <w:marTop w:val="0"/>
      <w:marBottom w:val="0"/>
      <w:divBdr>
        <w:top w:val="none" w:sz="0" w:space="0" w:color="auto"/>
        <w:left w:val="none" w:sz="0" w:space="0" w:color="auto"/>
        <w:bottom w:val="none" w:sz="0" w:space="0" w:color="auto"/>
        <w:right w:val="none" w:sz="0" w:space="0" w:color="auto"/>
      </w:divBdr>
    </w:div>
    <w:div w:id="389772503">
      <w:bodyDiv w:val="1"/>
      <w:marLeft w:val="0"/>
      <w:marRight w:val="0"/>
      <w:marTop w:val="0"/>
      <w:marBottom w:val="0"/>
      <w:divBdr>
        <w:top w:val="none" w:sz="0" w:space="0" w:color="auto"/>
        <w:left w:val="none" w:sz="0" w:space="0" w:color="auto"/>
        <w:bottom w:val="none" w:sz="0" w:space="0" w:color="auto"/>
        <w:right w:val="none" w:sz="0" w:space="0" w:color="auto"/>
      </w:divBdr>
    </w:div>
    <w:div w:id="619145036">
      <w:bodyDiv w:val="1"/>
      <w:marLeft w:val="0"/>
      <w:marRight w:val="0"/>
      <w:marTop w:val="0"/>
      <w:marBottom w:val="0"/>
      <w:divBdr>
        <w:top w:val="none" w:sz="0" w:space="0" w:color="auto"/>
        <w:left w:val="none" w:sz="0" w:space="0" w:color="auto"/>
        <w:bottom w:val="none" w:sz="0" w:space="0" w:color="auto"/>
        <w:right w:val="none" w:sz="0" w:space="0" w:color="auto"/>
      </w:divBdr>
    </w:div>
    <w:div w:id="824586386">
      <w:bodyDiv w:val="1"/>
      <w:marLeft w:val="0"/>
      <w:marRight w:val="0"/>
      <w:marTop w:val="0"/>
      <w:marBottom w:val="0"/>
      <w:divBdr>
        <w:top w:val="none" w:sz="0" w:space="0" w:color="auto"/>
        <w:left w:val="none" w:sz="0" w:space="0" w:color="auto"/>
        <w:bottom w:val="none" w:sz="0" w:space="0" w:color="auto"/>
        <w:right w:val="none" w:sz="0" w:space="0" w:color="auto"/>
      </w:divBdr>
    </w:div>
    <w:div w:id="1098139291">
      <w:bodyDiv w:val="1"/>
      <w:marLeft w:val="0"/>
      <w:marRight w:val="0"/>
      <w:marTop w:val="0"/>
      <w:marBottom w:val="0"/>
      <w:divBdr>
        <w:top w:val="none" w:sz="0" w:space="0" w:color="auto"/>
        <w:left w:val="none" w:sz="0" w:space="0" w:color="auto"/>
        <w:bottom w:val="none" w:sz="0" w:space="0" w:color="auto"/>
        <w:right w:val="none" w:sz="0" w:space="0" w:color="auto"/>
      </w:divBdr>
    </w:div>
    <w:div w:id="1136802534">
      <w:bodyDiv w:val="1"/>
      <w:marLeft w:val="0"/>
      <w:marRight w:val="0"/>
      <w:marTop w:val="0"/>
      <w:marBottom w:val="0"/>
      <w:divBdr>
        <w:top w:val="none" w:sz="0" w:space="0" w:color="auto"/>
        <w:left w:val="none" w:sz="0" w:space="0" w:color="auto"/>
        <w:bottom w:val="none" w:sz="0" w:space="0" w:color="auto"/>
        <w:right w:val="none" w:sz="0" w:space="0" w:color="auto"/>
      </w:divBdr>
    </w:div>
    <w:div w:id="1375815168">
      <w:bodyDiv w:val="1"/>
      <w:marLeft w:val="0"/>
      <w:marRight w:val="0"/>
      <w:marTop w:val="0"/>
      <w:marBottom w:val="0"/>
      <w:divBdr>
        <w:top w:val="none" w:sz="0" w:space="0" w:color="auto"/>
        <w:left w:val="none" w:sz="0" w:space="0" w:color="auto"/>
        <w:bottom w:val="none" w:sz="0" w:space="0" w:color="auto"/>
        <w:right w:val="none" w:sz="0" w:space="0" w:color="auto"/>
      </w:divBdr>
    </w:div>
    <w:div w:id="1540387869">
      <w:bodyDiv w:val="1"/>
      <w:marLeft w:val="0"/>
      <w:marRight w:val="0"/>
      <w:marTop w:val="0"/>
      <w:marBottom w:val="0"/>
      <w:divBdr>
        <w:top w:val="none" w:sz="0" w:space="0" w:color="auto"/>
        <w:left w:val="none" w:sz="0" w:space="0" w:color="auto"/>
        <w:bottom w:val="none" w:sz="0" w:space="0" w:color="auto"/>
        <w:right w:val="none" w:sz="0" w:space="0" w:color="auto"/>
      </w:divBdr>
      <w:divsChild>
        <w:div w:id="763041462">
          <w:marLeft w:val="432"/>
          <w:marRight w:val="216"/>
          <w:marTop w:val="0"/>
          <w:marBottom w:val="0"/>
          <w:divBdr>
            <w:top w:val="none" w:sz="0" w:space="0" w:color="auto"/>
            <w:left w:val="none" w:sz="0" w:space="0" w:color="auto"/>
            <w:bottom w:val="none" w:sz="0" w:space="0" w:color="auto"/>
            <w:right w:val="none" w:sz="0" w:space="0" w:color="auto"/>
          </w:divBdr>
        </w:div>
        <w:div w:id="1009211479">
          <w:marLeft w:val="216"/>
          <w:marRight w:val="432"/>
          <w:marTop w:val="0"/>
          <w:marBottom w:val="0"/>
          <w:divBdr>
            <w:top w:val="none" w:sz="0" w:space="0" w:color="auto"/>
            <w:left w:val="none" w:sz="0" w:space="0" w:color="auto"/>
            <w:bottom w:val="none" w:sz="0" w:space="0" w:color="auto"/>
            <w:right w:val="none" w:sz="0" w:space="0" w:color="auto"/>
          </w:divBdr>
        </w:div>
        <w:div w:id="1864319622">
          <w:marLeft w:val="432"/>
          <w:marRight w:val="216"/>
          <w:marTop w:val="0"/>
          <w:marBottom w:val="0"/>
          <w:divBdr>
            <w:top w:val="none" w:sz="0" w:space="0" w:color="auto"/>
            <w:left w:val="none" w:sz="0" w:space="0" w:color="auto"/>
            <w:bottom w:val="none" w:sz="0" w:space="0" w:color="auto"/>
            <w:right w:val="none" w:sz="0" w:space="0" w:color="auto"/>
          </w:divBdr>
        </w:div>
      </w:divsChild>
    </w:div>
    <w:div w:id="16574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4.0/" TargetMode="External"/><Relationship Id="rId26" Type="http://schemas.openxmlformats.org/officeDocument/2006/relationships/footer" Target="footer4.xml"/><Relationship Id="rId39" Type="http://schemas.openxmlformats.org/officeDocument/2006/relationships/hyperlink" Target="https://www.washingtongroup-disability.com/question-sets/wg-extended-set-on-functioning-wg-es/" TargetMode="External"/><Relationship Id="rId21" Type="http://schemas.openxmlformats.org/officeDocument/2006/relationships/hyperlink" Target="http://www.stats.govt.nz" TargetMode="External"/><Relationship Id="rId34" Type="http://schemas.openxmlformats.org/officeDocument/2006/relationships/hyperlink" Target="https://www.stats.govt.nz/information-releases/disability-statistics-2023" TargetMode="External"/><Relationship Id="rId42" Type="http://schemas.openxmlformats.org/officeDocument/2006/relationships/hyperlink" Target="https://www.washingtongroup-disability.com/resources/frequently-asked-questions/do-the-questions-refer-to-the-use-of-assistive-devices-43/" TargetMode="External"/><Relationship Id="rId47" Type="http://schemas.openxmlformats.org/officeDocument/2006/relationships/customXml" Target="ink/ink1.xml"/><Relationship Id="rId55" Type="http://schemas.openxmlformats.org/officeDocument/2006/relationships/hyperlink" Target="https://www.stats.govt.nz/methods/data-quality-ratings-for-2023-census-variab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s://www.stats.govt.nz/information-releases/disability-statistics-2023" TargetMode="External"/><Relationship Id="rId37" Type="http://schemas.openxmlformats.org/officeDocument/2006/relationships/hyperlink" Target="https://www.stats.govt.nz/information-releases/disability-statistics-2023" TargetMode="External"/><Relationship Id="rId40" Type="http://schemas.openxmlformats.org/officeDocument/2006/relationships/hyperlink" Target="https://www.washingtongroup-disability.com/question-sets/wg-unicef-child-functioning-module-cfm/" TargetMode="External"/><Relationship Id="rId45" Type="http://schemas.openxmlformats.org/officeDocument/2006/relationships/hyperlink" Target="https://www.stats.govt.nz/reports/household-disability-survey-2023-final-content/" TargetMode="External"/><Relationship Id="rId53" Type="http://schemas.openxmlformats.org/officeDocument/2006/relationships/hyperlink" Target="https://www.stats.govt.nz/information-releases/disability-statistics-2023" TargetMode="External"/><Relationship Id="rId58" Type="http://schemas.openxmlformats.org/officeDocument/2006/relationships/hyperlink" Target="https://www.washingtongroup-disability.com/question-sets/wg-extended-set-on-functioning-wg-e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nfo@stats.govt.nz"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https://www.stats.govt.nz/information-releases/disability-statistics-2023" TargetMode="External"/><Relationship Id="rId43" Type="http://schemas.openxmlformats.org/officeDocument/2006/relationships/hyperlink" Target="https://www.stats.govt.nz/methods/data-standard-for-gender-sex-and-variations-of-sex-characteristics/" TargetMode="External"/><Relationship Id="rId56" Type="http://schemas.openxmlformats.org/officeDocument/2006/relationships/hyperlink" Target="https://www.washingtongroup-disability.com/question-sets/wg-short-set-on-functioning-wg-s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stats.govt.nz/news/disabled-people-need-more-care-and-support" TargetMode="External"/><Relationship Id="rId38" Type="http://schemas.openxmlformats.org/officeDocument/2006/relationships/image" Target="media/image5.jpeg"/><Relationship Id="rId46" Type="http://schemas.openxmlformats.org/officeDocument/2006/relationships/hyperlink" Target="https://aria.stats.govt.nz/aria/" TargetMode="External"/><Relationship Id="rId59" Type="http://schemas.openxmlformats.org/officeDocument/2006/relationships/hyperlink" Target="https://www.washingtongroup-disability.com/question-sets/wg-unicef-child-functioning-module-cfm/" TargetMode="External"/><Relationship Id="rId20" Type="http://schemas.openxmlformats.org/officeDocument/2006/relationships/hyperlink" Target="http://www.stats.govt.nz/about_us/about-this-site/copyright-terms-of-use.aspx" TargetMode="External"/><Relationship Id="rId41" Type="http://schemas.openxmlformats.org/officeDocument/2006/relationships/hyperlink" Target="https://www.digital.govt.nz/standards-and-guidance/design-and-ux/content-design-guidance/inclusive-language/disability-language" TargetMode="External"/><Relationship Id="rId54" Type="http://schemas.openxmlformats.org/officeDocument/2006/relationships/hyperlink" Target="https://datainfoplus.stats.govt.nz/Item/nz.govt.stats/1202981d-29f6-4ab1-9478-0db8f777983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stats.govt.nz" TargetMode="External"/><Relationship Id="rId28" Type="http://schemas.openxmlformats.org/officeDocument/2006/relationships/footer" Target="footer5.xml"/><Relationship Id="rId36" Type="http://schemas.openxmlformats.org/officeDocument/2006/relationships/hyperlink" Target="https://www.stats.govt.nz/information-releases/disability-statistics-2023" TargetMode="External"/><Relationship Id="rId57" Type="http://schemas.openxmlformats.org/officeDocument/2006/relationships/hyperlink" Target="https://www.washingtongroup-disability.com/question-sets/wg-short-set-on-functioning-enhanced-wg-ss-enhanced/" TargetMode="Externa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yperlink" Target="https://aria.stats.govt.nz/aria/" TargetMode="External"/><Relationship Id="rId52" Type="http://schemas.openxmlformats.org/officeDocument/2006/relationships/image" Target="media/image6.png"/><Relationship Id="rId6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dc.gov/nchs/data/icd/icfoverview_finalforwho10sept.pdf" TargetMode="External"/><Relationship Id="rId2" Type="http://schemas.openxmlformats.org/officeDocument/2006/relationships/hyperlink" Target="https://www.un.org/disabilities/documents/convention/convoptprot-e.pdf" TargetMode="External"/><Relationship Id="rId1" Type="http://schemas.openxmlformats.org/officeDocument/2006/relationships/hyperlink" Target="https://www.stats.govt.nz/methods/data-standard-for-gender-sex-and-variations-of-sex-characteristics/" TargetMode="External"/><Relationship Id="rId4" Type="http://schemas.openxmlformats.org/officeDocument/2006/relationships/hyperlink" Target="https://cdn.who.int/media/docs/default-source/classification/icf/icfbeginnersguide.pdf?sfvrsn=eead63d3_4&amp;download=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hyperlink" Target="http://www.stats.govt.nz/browse_for_stats/population/estimates_and_projections/subnational-pop-estimates-tables.aspx"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tats.govt.nz/browse_for_stats/population/estimates_and_projections/subnational-pop-estimates-tables.asp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1:23:43.572"/>
    </inkml:context>
    <inkml:brush xml:id="br0">
      <inkml:brushProperty name="width" value="0.05" units="cm"/>
      <inkml:brushProperty name="height" value="0.05" units="cm"/>
      <inkml:brushProperty name="color" value="#AE198D"/>
      <inkml:brushProperty name="inkEffects" value="galaxy"/>
      <inkml:brushProperty name="anchorX" value="0"/>
      <inkml:brushProperty name="anchorY" value="0"/>
      <inkml:brushProperty name="scaleFactor" value="0.50047"/>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3e49f9-63b2-4bbe-8408-c4b58cb2712b">
      <Value>113</Value>
      <Value>1</Value>
      <Value>112</Value>
    </TaxCatchAll>
    <lcf76f155ced4ddcb4097134ff3c332f xmlns="5dfd4d69-8be3-45ea-9ccc-92afebe3a863">
      <Terms xmlns="http://schemas.microsoft.com/office/infopath/2007/PartnerControls"/>
    </lcf76f155ced4ddcb4097134ff3c332f>
    <Topic_x0020__x0028_Legacy_x0029_ xmlns="5dfd4d69-8be3-45ea-9ccc-92afebe3a863" xsi:nil="true"/>
    <Function_x0020_Group_x0020__x0028_Legacy_x0029_ xmlns="5dfd4d69-8be3-45ea-9ccc-92afebe3a863" xsi:nil="true"/>
    <Migration_x0020_note_x0020__x0028_F_x0029_ xmlns="5dfd4d69-8be3-45ea-9ccc-92afebe3a863" xsi:nil="true"/>
    <Legacy_x0020_Location_x0020__x0028_F_x0029_ xmlns="5dfd4d69-8be3-45ea-9ccc-92afebe3a863" xsi:nil="true"/>
    <Doc_x0020_ID_x0020__x0028_Legacy_x0029_ xmlns="5dfd4d69-8be3-45ea-9ccc-92afebe3a863" xsi:nil="true"/>
    <Security_x0020_Classification_x0020__x0028_Legacy_x0029_ xmlns="5dfd4d69-8be3-45ea-9ccc-92afebe3a863" xsi:nil="true"/>
    <_Flow_SignoffStatus xmlns="5dfd4d69-8be3-45ea-9ccc-92afebe3a863" xsi:nil="true"/>
    <nfc08e88b9a44e9a91d481bca3eba5a6 xmlns="5dfd4d69-8be3-45ea-9ccc-92afebe3a863">
      <Terms xmlns="http://schemas.microsoft.com/office/infopath/2007/PartnerControls"/>
    </nfc08e88b9a44e9a91d481bca3eba5a6>
    <Listitem xmlns="5dfd4d69-8be3-45ea-9ccc-92afebe3a863">
      <Url xsi:nil="true"/>
      <Description xsi:nil="true"/>
    </Listitem>
    <n80b7e3aec83466ab6b8b24620259cd2 xmlns="5dfd4d69-8be3-45ea-9ccc-92afebe3a863">
      <Terms xmlns="http://schemas.microsoft.com/office/infopath/2007/PartnerControls"/>
    </n80b7e3aec83466ab6b8b24620259cd2>
    <SharedWithUsers xmlns="4d5aeaa5-10c6-4b46-b472-171b603d6bc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C6DCE3220B5F4F80915EEDDB9BD036" ma:contentTypeVersion="87" ma:contentTypeDescription="Create a new document." ma:contentTypeScope="" ma:versionID="efe6dac7e48bd53a64bbbeb7cd34c2b1">
  <xsd:schema xmlns:xsd="http://www.w3.org/2001/XMLSchema" xmlns:xs="http://www.w3.org/2001/XMLSchema" xmlns:p="http://schemas.microsoft.com/office/2006/metadata/properties" xmlns:ns2="5dfd4d69-8be3-45ea-9ccc-92afebe3a863" xmlns:ns3="5f3e49f9-63b2-4bbe-8408-c4b58cb2712b" xmlns:ns4="4d5aeaa5-10c6-4b46-b472-171b603d6bc4" targetNamespace="http://schemas.microsoft.com/office/2006/metadata/properties" ma:root="true" ma:fieldsID="63672cf47923b66bfc4f32fc94c95d7b" ns2:_="" ns3:_="" ns4:_="">
    <xsd:import namespace="5dfd4d69-8be3-45ea-9ccc-92afebe3a863"/>
    <xsd:import namespace="5f3e49f9-63b2-4bbe-8408-c4b58cb2712b"/>
    <xsd:import namespace="4d5aeaa5-10c6-4b46-b472-171b603d6bc4"/>
    <xsd:element name="properties">
      <xsd:complexType>
        <xsd:sequence>
          <xsd:element name="documentManagement">
            <xsd:complexType>
              <xsd:all>
                <xsd:element ref="ns2:Topic_x0020__x0028_Legacy_x0029_" minOccurs="0"/>
                <xsd:element ref="ns2:Migration_x0020_note_x0020__x0028_F_x0029_" minOccurs="0"/>
                <xsd:element ref="ns2:Legacy_x0020_Location_x0020__x0028_F_x0029_" minOccurs="0"/>
                <xsd:element ref="ns2:Security_x0020_Classification_x0020__x0028_Legacy_x0029_" minOccurs="0"/>
                <xsd:element ref="ns2:Function_x0020_Group_x0020__x0028_Legacy_x0029_" minOccurs="0"/>
                <xsd:element ref="ns2:Doc_x0020_ID_x0020__x0028_Legacy_x0029_" minOccurs="0"/>
                <xsd:element ref="ns3:TaxCatchAll" minOccurs="0"/>
                <xsd:element ref="ns2:MediaServiceMetadata" minOccurs="0"/>
                <xsd:element ref="ns2:MediaServiceFastMetadata" minOccurs="0"/>
                <xsd:element ref="ns2:_Flow_SignoffStatus" minOccurs="0"/>
                <xsd:element ref="ns4:SharedWithUsers" minOccurs="0"/>
                <xsd:element ref="ns4: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n80b7e3aec83466ab6b8b24620259cd2" minOccurs="0"/>
                <xsd:element ref="ns2:nfc08e88b9a44e9a91d481bca3eba5a6" minOccurs="0"/>
                <xsd:element ref="ns2:MediaServiceSearchProperties" minOccurs="0"/>
                <xsd:element ref="ns2:Listite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4d69-8be3-45ea-9ccc-92afebe3a863" elementFormDefault="qualified">
    <xsd:import namespace="http://schemas.microsoft.com/office/2006/documentManagement/types"/>
    <xsd:import namespace="http://schemas.microsoft.com/office/infopath/2007/PartnerControls"/>
    <xsd:element name="Topic_x0020__x0028_Legacy_x0029_" ma:index="2" nillable="true" ma:displayName="Topic (Legacy)" ma:internalName="Topic_x0020__x0028_Legacy_x0029_" ma:readOnly="false">
      <xsd:simpleType>
        <xsd:restriction base="dms:Text">
          <xsd:maxLength value="255"/>
        </xsd:restriction>
      </xsd:simpleType>
    </xsd:element>
    <xsd:element name="Migration_x0020_note_x0020__x0028_F_x0029_" ma:index="3" nillable="true" ma:displayName="Migration note (F)" ma:internalName="Migration_x0020_note_x0020__x0028_F_x0029_" ma:readOnly="false">
      <xsd:simpleType>
        <xsd:restriction base="dms:Text">
          <xsd:maxLength value="255"/>
        </xsd:restriction>
      </xsd:simpleType>
    </xsd:element>
    <xsd:element name="Legacy_x0020_Location_x0020__x0028_F_x0029_" ma:index="4" nillable="true" ma:displayName="Legacy Location (F)" ma:internalName="Legacy_x0020_Location_x0020__x0028_F_x0029_" ma:readOnly="false">
      <xsd:simpleType>
        <xsd:restriction base="dms:Text">
          <xsd:maxLength value="255"/>
        </xsd:restriction>
      </xsd:simpleType>
    </xsd:element>
    <xsd:element name="Security_x0020_Classification_x0020__x0028_Legacy_x0029_" ma:index="7" nillable="true" ma:displayName="Security Classification (Legacy)" ma:internalName="Security_x0020_Classification_x0020__x0028_Legacy_x0029_" ma:readOnly="false">
      <xsd:simpleType>
        <xsd:restriction base="dms:Text">
          <xsd:maxLength value="255"/>
        </xsd:restriction>
      </xsd:simpleType>
    </xsd:element>
    <xsd:element name="Function_x0020_Group_x0020__x0028_Legacy_x0029_" ma:index="8" nillable="true" ma:displayName="Function Group (Legacy)" ma:internalName="Function_x0020_Group_x0020__x0028_Legacy_x0029_" ma:readOnly="false">
      <xsd:simpleType>
        <xsd:restriction base="dms:Text">
          <xsd:maxLength value="255"/>
        </xsd:restriction>
      </xsd:simpleType>
    </xsd:element>
    <xsd:element name="Doc_x0020_ID_x0020__x0028_Legacy_x0029_" ma:index="9" nillable="true" ma:displayName="Doc ID (Legacy)" ma:internalName="Doc_x0020_ID_x0020__x0028_Legacy_x0029_"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_Flow_SignoffStatus" ma:index="19"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da8392b-dc98-451e-8434-fd5d9b2c194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80b7e3aec83466ab6b8b24620259cd2" ma:index="30" nillable="true" ma:taxonomy="true" ma:internalName="n80b7e3aec83466ab6b8b24620259cd2" ma:taxonomyFieldName="DocType" ma:displayName="DocType" ma:fieldId="{780b7e3a-ec83-466a-b6b8-b24620259cd2}" ma:taxonomyMulti="true" ma:sspId="ada8392b-dc98-451e-8434-fd5d9b2c1940" ma:termSetId="671c5c24-4fe7-4567-986b-010c1600d446" ma:anchorId="00000000-0000-0000-0000-000000000000" ma:open="false" ma:isKeyword="false">
      <xsd:complexType>
        <xsd:sequence>
          <xsd:element ref="pc:Terms" minOccurs="0" maxOccurs="1"/>
        </xsd:sequence>
      </xsd:complexType>
    </xsd:element>
    <xsd:element name="nfc08e88b9a44e9a91d481bca3eba5a6" ma:index="32" nillable="true" ma:taxonomy="true" ma:internalName="nfc08e88b9a44e9a91d481bca3eba5a6" ma:taxonomyFieldName="NZGovtAgency_x0020_F" ma:displayName="NZGovtAgency F" ma:fieldId="{7fc08e88-b9a4-4e9a-91d4-81bca3eba5a6}" ma:taxonomyMulti="true" ma:sspId="ada8392b-dc98-451e-8434-fd5d9b2c1940" ma:termSetId="932e821c-73a2-4aad-b201-d8e3da3eb3b7" ma:anchorId="00000000-0000-0000-0000-000000000000" ma:open="fals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Listitem" ma:index="34" nillable="true" ma:displayName="Listitem" ma:format="Hyperlink" ma:internalName="Listitem">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e49f9-63b2-4bbe-8408-c4b58cb271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47b52-944f-4c25-9df2-d19e0eab6dfc}" ma:internalName="TaxCatchAll" ma:showField="CatchAllData" ma:web="4d5aeaa5-10c6-4b46-b472-171b603d6b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aeaa5-10c6-4b46-b472-171b603d6bc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85179-B0B9-4CDB-90E4-6495C14D729A}">
  <ds:schemaRefs>
    <ds:schemaRef ds:uri="http://schemas.microsoft.com/sharepoint/v3/contenttype/forms"/>
  </ds:schemaRefs>
</ds:datastoreItem>
</file>

<file path=customXml/itemProps2.xml><?xml version="1.0" encoding="utf-8"?>
<ds:datastoreItem xmlns:ds="http://schemas.openxmlformats.org/officeDocument/2006/customXml" ds:itemID="{BCA4104D-21C9-47F1-8F70-C25D2C26F256}">
  <ds:schemaRefs>
    <ds:schemaRef ds:uri="5dfd4d69-8be3-45ea-9ccc-92afebe3a863"/>
    <ds:schemaRef ds:uri="5f3e49f9-63b2-4bbe-8408-c4b58cb2712b"/>
    <ds:schemaRef ds:uri="http://purl.org/dc/elements/1.1/"/>
    <ds:schemaRef ds:uri="4d5aeaa5-10c6-4b46-b472-171b603d6bc4"/>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4FACA4-5001-4045-9AC1-3DC8851B38EB}">
  <ds:schemaRefs>
    <ds:schemaRef ds:uri="http://schemas.openxmlformats.org/officeDocument/2006/bibliography"/>
  </ds:schemaRefs>
</ds:datastoreItem>
</file>

<file path=customXml/itemProps4.xml><?xml version="1.0" encoding="utf-8"?>
<ds:datastoreItem xmlns:ds="http://schemas.openxmlformats.org/officeDocument/2006/customXml" ds:itemID="{05FD98E4-8F6D-48A5-8474-972DFE5D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d4d69-8be3-45ea-9ccc-92afebe3a863"/>
    <ds:schemaRef ds:uri="5f3e49f9-63b2-4bbe-8408-c4b58cb2712b"/>
    <ds:schemaRef ds:uri="4d5aeaa5-10c6-4b46-b472-171b603d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11475</Words>
  <Characters>65413</Characters>
  <Application>Microsoft Office Word</Application>
  <DocSecurity>4</DocSecurity>
  <Lines>545</Lines>
  <Paragraphs>153</Paragraphs>
  <ScaleCrop>false</ScaleCrop>
  <Company>Stats NZ</Company>
  <LinksUpToDate>false</LinksUpToDate>
  <CharactersWithSpaces>76735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Household Disability Survey – findings, definitions, and design summary</dc:title>
  <dc:subject>2023 Household Disability Survey – findings, definitions, and design summary</dc:subject>
  <dc:creator>Stats NZ</dc:creator>
  <cp:keywords/>
  <dc:description/>
  <cp:lastModifiedBy>Annemarie Crampton</cp:lastModifiedBy>
  <cp:revision>2251</cp:revision>
  <cp:lastPrinted>2025-02-21T23:33:00Z</cp:lastPrinted>
  <dcterms:created xsi:type="dcterms:W3CDTF">2024-12-14T05:46:00Z</dcterms:created>
  <dcterms:modified xsi:type="dcterms:W3CDTF">2025-02-21T02:33:00Z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A147922</vt:lpwstr>
  </property>
  <property fmtid="{D5CDD505-2E9C-101B-9397-08002B2CF9AE}" pid="3" name="DocONERegDate">
    <vt:lpwstr>01/03/2017 05:24:03 PM</vt:lpwstr>
  </property>
  <property fmtid="{D5CDD505-2E9C-101B-9397-08002B2CF9AE}" pid="4" name="DocONEVerNo">
    <vt:lpwstr>1</vt:lpwstr>
  </property>
  <property fmtid="{D5CDD505-2E9C-101B-9397-08002B2CF9AE}" pid="5" name="DocONECreatedDate">
    <vt:lpwstr>01/03/2017</vt:lpwstr>
  </property>
  <property fmtid="{D5CDD505-2E9C-101B-9397-08002B2CF9AE}" pid="6" name="ContentTypeId">
    <vt:lpwstr>0x010100C8C6DCE3220B5F4F80915EEDDB9BD036</vt:lpwstr>
  </property>
  <property fmtid="{D5CDD505-2E9C-101B-9397-08002B2CF9AE}" pid="7" name="C3Topic">
    <vt:lpwstr>1342;#Template - publication|6a611ed9-f6c7-4716-8a29-67a5ddf93375</vt:lpwstr>
  </property>
  <property fmtid="{D5CDD505-2E9C-101B-9397-08002B2CF9AE}" pid="8" name="TaxKeyword">
    <vt:lpwstr/>
  </property>
  <property fmtid="{D5CDD505-2E9C-101B-9397-08002B2CF9AE}" pid="9" name="StatsNZSecurityClassification">
    <vt:lpwstr>6;#Unclassified|9da528ab-29c9-4a2f-b4e4-44a477024fa8</vt:lpwstr>
  </property>
  <property fmtid="{D5CDD505-2E9C-101B-9397-08002B2CF9AE}" pid="10" name="_dlc_DocIdItemGuid">
    <vt:lpwstr>6c2b64c8-f15b-4414-899d-926636015afe</vt:lpwstr>
  </property>
  <property fmtid="{D5CDD505-2E9C-101B-9397-08002B2CF9AE}" pid="11" name="StatsNZOutputName">
    <vt:lpwstr/>
  </property>
  <property fmtid="{D5CDD505-2E9C-101B-9397-08002B2CF9AE}" pid="12" name="C3FinancialYear">
    <vt:lpwstr>55;#2017/2018|bb6ba468-f2ff-4bb1-8868-0bb6e4757626</vt:lpwstr>
  </property>
  <property fmtid="{D5CDD505-2E9C-101B-9397-08002B2CF9AE}" pid="13" name="MediaServiceImageTags">
    <vt:lpwstr/>
  </property>
  <property fmtid="{D5CDD505-2E9C-101B-9397-08002B2CF9AE}" pid="14" name="RevIMBCS">
    <vt:lpwstr>234;#Under Review|1347b411-7d97-425c-b203-9a4f9bd0c618</vt:lpwstr>
  </property>
  <property fmtid="{D5CDD505-2E9C-101B-9397-08002B2CF9AE}" pid="15" name="ka1980c8309e4dfba9b4151987bcda67">
    <vt:lpwstr>Unclassified|e358a964-c2cf-4fbc-b0d6-6d6f8b9fb44c</vt:lpwstr>
  </property>
  <property fmtid="{D5CDD505-2E9C-101B-9397-08002B2CF9AE}" pid="16" name="id100c0c3eec40d4ac767d9dfa41607b">
    <vt:lpwstr>Communications|d70d54bf-eb53-4782-b0a2-7b98e4ec9937</vt:lpwstr>
  </property>
  <property fmtid="{D5CDD505-2E9C-101B-9397-08002B2CF9AE}" pid="17" name="hc1a1a3ab2ae420fb2e3cb6a43fb3060">
    <vt:lpwstr>Comms and Public Relations|9644b621-34f7-4072-8adf-11c461c14bf9</vt:lpwstr>
  </property>
  <property fmtid="{D5CDD505-2E9C-101B-9397-08002B2CF9AE}" pid="18" name="Function (F)">
    <vt:lpwstr>112</vt:lpwstr>
  </property>
  <property fmtid="{D5CDD505-2E9C-101B-9397-08002B2CF9AE}" pid="19" name="Activity (F)">
    <vt:lpwstr>113</vt:lpwstr>
  </property>
  <property fmtid="{D5CDD505-2E9C-101B-9397-08002B2CF9AE}" pid="20" name="Protective Marking (F)">
    <vt:lpwstr>1</vt:lpwstr>
  </property>
  <property fmtid="{D5CDD505-2E9C-101B-9397-08002B2CF9AE}" pid="21" name="d1_Duplication">
    <vt:lpwstr>7f6b4f85-0429-d601-46d3-8117ce7071db</vt:lpwstr>
  </property>
  <property fmtid="{D5CDD505-2E9C-101B-9397-08002B2CF9AE}" pid="22" name="Activity_x0020__x0028_F_x0029_">
    <vt:lpwstr>113</vt:lpwstr>
  </property>
  <property fmtid="{D5CDD505-2E9C-101B-9397-08002B2CF9AE}" pid="23" name="Function_x0020__x0028_F_x0029_">
    <vt:lpwstr>112</vt:lpwstr>
  </property>
  <property fmtid="{D5CDD505-2E9C-101B-9397-08002B2CF9AE}" pid="24" name="Protective_x0020_Marking_x0020__x0028_F_x0029_">
    <vt:lpwstr>1</vt:lpwstr>
  </property>
  <property fmtid="{D5CDD505-2E9C-101B-9397-08002B2CF9AE}" pid="25" name="NZGovtAgency_x0020_F">
    <vt:lpwstr/>
  </property>
  <property fmtid="{D5CDD505-2E9C-101B-9397-08002B2CF9AE}" pid="26" name="DocType">
    <vt:lpwstr/>
  </property>
  <property fmtid="{D5CDD505-2E9C-101B-9397-08002B2CF9AE}" pid="27" name="NZGovtAgency F">
    <vt:lpwstr/>
  </property>
  <property fmtid="{D5CDD505-2E9C-101B-9397-08002B2CF9AE}" pid="28" name="Email Attachment">
    <vt:lpwstr/>
  </property>
  <property fmtid="{D5CDD505-2E9C-101B-9397-08002B2CF9AE}" pid="29" name="d1_DupF">
    <vt:lpwstr/>
  </property>
  <property fmtid="{D5CDD505-2E9C-101B-9397-08002B2CF9AE}" pid="30" name="Order">
    <vt:r8>138000</vt:r8>
  </property>
  <property fmtid="{D5CDD505-2E9C-101B-9397-08002B2CF9AE}" pid="31" name="TEST ONLY">
    <vt:lpwstr/>
  </property>
  <property fmtid="{D5CDD505-2E9C-101B-9397-08002B2CF9AE}" pid="32" name="DocumentSetDescription">
    <vt:lpwstr/>
  </property>
  <property fmtid="{D5CDD505-2E9C-101B-9397-08002B2CF9AE}" pid="33" name="xd_ProgID">
    <vt:lpwstr/>
  </property>
  <property fmtid="{D5CDD505-2E9C-101B-9397-08002B2CF9AE}" pid="34" name="Relates to (F)12">
    <vt:lpwstr/>
  </property>
  <property fmtid="{D5CDD505-2E9C-101B-9397-08002B2CF9AE}" pid="35" name="ComplianceAssetId">
    <vt:lpwstr/>
  </property>
  <property fmtid="{D5CDD505-2E9C-101B-9397-08002B2CF9AE}" pid="36" name="TemplateUrl">
    <vt:lpwstr/>
  </property>
  <property fmtid="{D5CDD505-2E9C-101B-9397-08002B2CF9AE}" pid="37" name="SNZ_Email To">
    <vt:lpwstr/>
  </property>
  <property fmtid="{D5CDD505-2E9C-101B-9397-08002B2CF9AE}" pid="38" name="_ExtendedDescription">
    <vt:lpwstr/>
  </property>
  <property fmtid="{D5CDD505-2E9C-101B-9397-08002B2CF9AE}" pid="39" name="Manual Financial Year (F)12">
    <vt:lpwstr/>
  </property>
  <property fmtid="{D5CDD505-2E9C-101B-9397-08002B2CF9AE}" pid="40" name="Activity Status (F)">
    <vt:lpwstr/>
  </property>
  <property fmtid="{D5CDD505-2E9C-101B-9397-08002B2CF9AE}" pid="41" name="TriggerFlowInfo">
    <vt:lpwstr/>
  </property>
  <property fmtid="{D5CDD505-2E9C-101B-9397-08002B2CF9AE}" pid="42" name="i0f84bba906045b4af568ee102a52dcb">
    <vt:lpwstr>Under Review|1347b411-7d97-425c-b203-9a4f9bd0c618</vt:lpwstr>
  </property>
  <property fmtid="{D5CDD505-2E9C-101B-9397-08002B2CF9AE}" pid="43" name="URL">
    <vt:lpwstr/>
  </property>
  <property fmtid="{D5CDD505-2E9C-101B-9397-08002B2CF9AE}" pid="44" name="Email CC">
    <vt:lpwstr/>
  </property>
  <property fmtid="{D5CDD505-2E9C-101B-9397-08002B2CF9AE}" pid="45" name="SNZ_EmailSubject">
    <vt:lpwstr/>
  </property>
  <property fmtid="{D5CDD505-2E9C-101B-9397-08002B2CF9AE}" pid="46" name="SNZ_EmailFrom">
    <vt:lpwstr/>
  </property>
  <property fmtid="{D5CDD505-2E9C-101B-9397-08002B2CF9AE}" pid="47" name="Archive Access level (F)">
    <vt:lpwstr/>
  </property>
  <property fmtid="{D5CDD505-2E9C-101B-9397-08002B2CF9AE}" pid="48" name="Email Sent DateTime">
    <vt:lpwstr/>
  </property>
  <property fmtid="{D5CDD505-2E9C-101B-9397-08002B2CF9AE}" pid="49" name="xd_Signature">
    <vt:bool>false</vt:bool>
  </property>
  <property fmtid="{D5CDD505-2E9C-101B-9397-08002B2CF9AE}" pid="50" name="Last Edited By (F)">
    <vt:lpwstr/>
  </property>
  <property fmtid="{D5CDD505-2E9C-101B-9397-08002B2CF9AE}" pid="51" name="Enterprise Keywords (Legacy)">
    <vt:lpwstr/>
  </property>
</Properties>
</file>